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32FA" w14:textId="77777777" w:rsidR="00C175DC" w:rsidRDefault="00C175DC">
      <w:pPr>
        <w:spacing w:after="120"/>
      </w:pPr>
    </w:p>
    <w:p w14:paraId="19C959C5" w14:textId="77777777" w:rsidR="00C175DC" w:rsidRDefault="00000000">
      <w:pPr>
        <w:spacing w:after="20"/>
        <w:jc w:val="center"/>
      </w:pPr>
      <w:r>
        <w:rPr>
          <w:b/>
          <w:bCs/>
          <w:color w:val="CC0000"/>
          <w:sz w:val="20"/>
          <w:szCs w:val="20"/>
        </w:rPr>
        <w:t>ANNEX III</w:t>
      </w:r>
    </w:p>
    <w:p w14:paraId="5C858FD7" w14:textId="77777777" w:rsidR="00C175DC" w:rsidRDefault="00000000">
      <w:pPr>
        <w:spacing w:after="40"/>
        <w:jc w:val="center"/>
      </w:pPr>
      <w:r>
        <w:rPr>
          <w:b/>
          <w:bCs/>
          <w:color w:val="404040"/>
          <w:sz w:val="34"/>
          <w:szCs w:val="34"/>
        </w:rPr>
        <w:t>Financial Offer</w:t>
      </w:r>
    </w:p>
    <w:p w14:paraId="0AEC0A91" w14:textId="77777777" w:rsidR="00C175DC" w:rsidRDefault="00000000">
      <w:pPr>
        <w:spacing w:after="10"/>
        <w:jc w:val="center"/>
      </w:pPr>
      <w:r>
        <w:rPr>
          <w:color w:val="404040"/>
        </w:rPr>
        <w:t xml:space="preserve">IT Administration </w:t>
      </w:r>
      <w:proofErr w:type="gramStart"/>
      <w:r>
        <w:rPr>
          <w:color w:val="404040"/>
        </w:rPr>
        <w:t>Services  —</w:t>
      </w:r>
      <w:proofErr w:type="gramEnd"/>
      <w:r>
        <w:rPr>
          <w:color w:val="404040"/>
        </w:rPr>
        <w:t xml:space="preserve">  RLS North Africa Office</w:t>
      </w:r>
    </w:p>
    <w:p w14:paraId="1C5E1FE4" w14:textId="77777777" w:rsidR="00C175DC" w:rsidRDefault="00000000">
      <w:pPr>
        <w:spacing w:after="10"/>
        <w:jc w:val="center"/>
      </w:pPr>
      <w:r>
        <w:rPr>
          <w:color w:val="404040"/>
          <w:sz w:val="20"/>
          <w:szCs w:val="20"/>
        </w:rPr>
        <w:t>RLS–ADMIN–IT Admin Service–2026/2027</w:t>
      </w:r>
    </w:p>
    <w:p w14:paraId="61FA1EAE" w14:textId="77777777" w:rsidR="00C175DC" w:rsidRDefault="00C175DC">
      <w:pPr>
        <w:pBdr>
          <w:bottom w:val="single" w:sz="8" w:space="1" w:color="CC0000"/>
        </w:pBdr>
        <w:spacing w:before="20"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C175DC" w14:paraId="51EFDB07" w14:textId="77777777"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377E389" w14:textId="77777777" w:rsidR="00C175DC" w:rsidRDefault="00000000">
            <w:r>
              <w:rPr>
                <w:b/>
                <w:bCs/>
              </w:rPr>
              <w:t>Company Name: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3960CEF2" w14:textId="77777777" w:rsidR="00C175DC" w:rsidRDefault="00000000">
            <w:r>
              <w:t xml:space="preserve"> </w:t>
            </w:r>
          </w:p>
        </w:tc>
      </w:tr>
      <w:tr w:rsidR="00C175DC" w14:paraId="759A365D" w14:textId="77777777"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D6AEC7D" w14:textId="77777777" w:rsidR="00C175DC" w:rsidRDefault="00000000">
            <w:r>
              <w:rPr>
                <w:b/>
                <w:bCs/>
              </w:rPr>
              <w:t>Date: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19FF6389" w14:textId="77777777" w:rsidR="00C175DC" w:rsidRDefault="00000000">
            <w:r>
              <w:t xml:space="preserve"> </w:t>
            </w:r>
          </w:p>
        </w:tc>
      </w:tr>
    </w:tbl>
    <w:p w14:paraId="38248572" w14:textId="77777777" w:rsidR="00C175DC" w:rsidRDefault="00C175DC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C175DC" w14:paraId="4E5AA514" w14:textId="77777777">
        <w:tc>
          <w:tcPr>
            <w:tcW w:w="9026" w:type="dxa"/>
            <w:tcBorders>
              <w:top w:val="single" w:sz="4" w:space="0" w:color="E6AC00"/>
              <w:left w:val="single" w:sz="10" w:space="0" w:color="CC0000"/>
              <w:bottom w:val="single" w:sz="4" w:space="0" w:color="E6AC00"/>
            </w:tcBorders>
            <w:shd w:val="clear" w:color="auto" w:fill="FFF3CD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C204366" w14:textId="77777777" w:rsidR="00C175DC" w:rsidRDefault="00000000">
            <w:r>
              <w:rPr>
                <w:b/>
                <w:bCs/>
                <w:color w:val="CC0000"/>
              </w:rPr>
              <w:t>Important Notes:</w:t>
            </w:r>
          </w:p>
          <w:p w14:paraId="2CC689DB" w14:textId="77777777" w:rsidR="00C175DC" w:rsidRDefault="00000000">
            <w:pPr>
              <w:spacing w:before="40"/>
            </w:pPr>
            <w:r>
              <w:rPr>
                <w:sz w:val="21"/>
                <w:szCs w:val="21"/>
              </w:rPr>
              <w:t>• All rates must be quoted in Tunisian Dinars (TND), exclusive of VAT (ex. VAT).</w:t>
            </w:r>
          </w:p>
          <w:p w14:paraId="57A35C51" w14:textId="77777777" w:rsidR="00C175DC" w:rsidRDefault="00000000">
            <w:pPr>
              <w:spacing w:before="20"/>
            </w:pPr>
            <w:r>
              <w:rPr>
                <w:sz w:val="21"/>
                <w:szCs w:val="21"/>
              </w:rPr>
              <w:t>• Quoted fees must be all-inclusive (travel, phone calls, and all business expenses).</w:t>
            </w:r>
          </w:p>
          <w:p w14:paraId="31196D63" w14:textId="77777777" w:rsidR="00C175DC" w:rsidRDefault="00000000">
            <w:pPr>
              <w:spacing w:before="20"/>
            </w:pPr>
            <w:r>
              <w:rPr>
                <w:b/>
                <w:bCs/>
                <w:sz w:val="21"/>
                <w:szCs w:val="21"/>
              </w:rPr>
              <w:t>• The on-call hourly rate MUST be strictly lower than the regular maintenance hourly rate. Non-compliant bids will be disqualified.</w:t>
            </w:r>
          </w:p>
          <w:p w14:paraId="37864043" w14:textId="77777777" w:rsidR="00C175DC" w:rsidRDefault="00000000">
            <w:pPr>
              <w:spacing w:before="20"/>
            </w:pPr>
            <w:r>
              <w:rPr>
                <w:sz w:val="21"/>
                <w:szCs w:val="21"/>
              </w:rPr>
              <w:t>• Regular maintenance and on-call hours must be clearly labelled on monthly timesheets.</w:t>
            </w:r>
          </w:p>
          <w:p w14:paraId="345C2741" w14:textId="77777777" w:rsidR="00C175DC" w:rsidRDefault="00000000">
            <w:pPr>
              <w:spacing w:before="20"/>
            </w:pPr>
            <w:r>
              <w:rPr>
                <w:sz w:val="21"/>
                <w:szCs w:val="21"/>
              </w:rPr>
              <w:t>• Payment is made monthly upon submission of a signed timesheet and invoice. No advance payments are provided.</w:t>
            </w:r>
          </w:p>
        </w:tc>
      </w:tr>
    </w:tbl>
    <w:p w14:paraId="067BE083" w14:textId="77777777" w:rsidR="00C175DC" w:rsidRDefault="00C175DC">
      <w:pPr>
        <w:spacing w:after="100"/>
      </w:pPr>
    </w:p>
    <w:p w14:paraId="5960B8D0" w14:textId="77777777" w:rsidR="00C175DC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Part 1 — Hourly Rate Schedule</w:t>
      </w:r>
    </w:p>
    <w:p w14:paraId="6E9ED861" w14:textId="77777777" w:rsidR="00C175DC" w:rsidRDefault="00000000">
      <w:pPr>
        <w:spacing w:before="60" w:after="60"/>
        <w:jc w:val="both"/>
      </w:pPr>
      <w:r>
        <w:t>Quote hourly rates for each service category. Estimated monthly hours are indicative only and do not constitute a guaranteed volume.</w:t>
      </w:r>
    </w:p>
    <w:p w14:paraId="5EDFF2C1" w14:textId="77777777" w:rsidR="00C175DC" w:rsidRDefault="00C175DC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1200"/>
        <w:gridCol w:w="1500"/>
        <w:gridCol w:w="1300"/>
        <w:gridCol w:w="1526"/>
      </w:tblGrid>
      <w:tr w:rsidR="00C175DC" w14:paraId="491720EA" w14:textId="77777777">
        <w:tc>
          <w:tcPr>
            <w:tcW w:w="35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070B725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Service Category</w:t>
            </w:r>
          </w:p>
        </w:tc>
        <w:tc>
          <w:tcPr>
            <w:tcW w:w="12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F2EE8E7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Est.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Hrs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/Month</w:t>
            </w:r>
          </w:p>
        </w:tc>
        <w:tc>
          <w:tcPr>
            <w:tcW w:w="15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A98CF5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Rate (TND/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hr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 ex. VAT</w:t>
            </w:r>
          </w:p>
        </w:tc>
        <w:tc>
          <w:tcPr>
            <w:tcW w:w="13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915ED5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VAT Rate</w:t>
            </w:r>
          </w:p>
        </w:tc>
        <w:tc>
          <w:tcPr>
            <w:tcW w:w="1526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EFE452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Rate Incl. VAT (TND/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hr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C175DC" w14:paraId="53A58BC7" w14:textId="77777777">
        <w:tc>
          <w:tcPr>
            <w:tcW w:w="35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6860E" w14:textId="77777777" w:rsidR="00C175DC" w:rsidRDefault="00000000">
            <w:r>
              <w:rPr>
                <w:sz w:val="20"/>
                <w:szCs w:val="20"/>
              </w:rPr>
              <w:t xml:space="preserve">Regular / Scheduled Maintenance </w:t>
            </w:r>
            <w:r w:rsidRPr="006C56A0">
              <w:rPr>
                <w:sz w:val="20"/>
                <w:szCs w:val="20"/>
              </w:rPr>
              <w:t xml:space="preserve">(~2 </w:t>
            </w:r>
            <w:proofErr w:type="spellStart"/>
            <w:r w:rsidRPr="006C56A0">
              <w:rPr>
                <w:sz w:val="20"/>
                <w:szCs w:val="20"/>
              </w:rPr>
              <w:t>hrs</w:t>
            </w:r>
            <w:proofErr w:type="spellEnd"/>
            <w:r w:rsidRPr="006C56A0">
              <w:rPr>
                <w:sz w:val="20"/>
                <w:szCs w:val="20"/>
              </w:rPr>
              <w:t xml:space="preserve">/week, approx. 8 </w:t>
            </w:r>
            <w:proofErr w:type="spellStart"/>
            <w:r w:rsidRPr="006C56A0">
              <w:rPr>
                <w:sz w:val="20"/>
                <w:szCs w:val="20"/>
              </w:rPr>
              <w:t>hrs</w:t>
            </w:r>
            <w:proofErr w:type="spellEnd"/>
            <w:r w:rsidRPr="006C56A0">
              <w:rPr>
                <w:sz w:val="20"/>
                <w:szCs w:val="20"/>
              </w:rPr>
              <w:t>/month)</w:t>
            </w:r>
          </w:p>
        </w:tc>
        <w:tc>
          <w:tcPr>
            <w:tcW w:w="1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180C7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5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64D40" w14:textId="77777777" w:rsidR="00C175DC" w:rsidRDefault="00C175DC">
            <w:pPr>
              <w:jc w:val="center"/>
            </w:pP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E6CF0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15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6011C" w14:textId="77777777" w:rsidR="00C175DC" w:rsidRDefault="00C175DC">
            <w:pPr>
              <w:jc w:val="center"/>
            </w:pPr>
          </w:p>
        </w:tc>
      </w:tr>
      <w:tr w:rsidR="00C175DC" w14:paraId="0CDE441E" w14:textId="77777777">
        <w:tc>
          <w:tcPr>
            <w:tcW w:w="35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02DD5" w14:textId="77777777" w:rsidR="00C175DC" w:rsidRDefault="00000000">
            <w:r>
              <w:rPr>
                <w:sz w:val="20"/>
                <w:szCs w:val="20"/>
              </w:rPr>
              <w:t>On-Call / Reactive Support (remote — email or phone, on demand)</w:t>
            </w:r>
          </w:p>
        </w:tc>
        <w:tc>
          <w:tcPr>
            <w:tcW w:w="12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B045E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5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368A2" w14:textId="77777777" w:rsidR="00C175DC" w:rsidRDefault="00C175DC">
            <w:pPr>
              <w:jc w:val="center"/>
            </w:pPr>
          </w:p>
        </w:tc>
        <w:tc>
          <w:tcPr>
            <w:tcW w:w="13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1EA90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15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07CBE" w14:textId="77777777" w:rsidR="00C175DC" w:rsidRDefault="00C175DC">
            <w:pPr>
              <w:jc w:val="center"/>
            </w:pPr>
          </w:p>
        </w:tc>
      </w:tr>
      <w:tr w:rsidR="00C175DC" w14:paraId="49C54E94" w14:textId="77777777">
        <w:tc>
          <w:tcPr>
            <w:tcW w:w="35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7E420" w14:textId="77777777" w:rsidR="00C175DC" w:rsidRDefault="00000000">
            <w:r>
              <w:rPr>
                <w:sz w:val="20"/>
                <w:szCs w:val="20"/>
              </w:rPr>
              <w:t>On-Site Intervention (outside scheduled maintenance hours)</w:t>
            </w:r>
          </w:p>
        </w:tc>
        <w:tc>
          <w:tcPr>
            <w:tcW w:w="1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7866D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5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CE587" w14:textId="77777777" w:rsidR="00C175DC" w:rsidRDefault="00C175DC">
            <w:pPr>
              <w:jc w:val="center"/>
            </w:pP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E5577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15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81A5E0" w14:textId="77777777" w:rsidR="00C175DC" w:rsidRDefault="00C175DC">
            <w:pPr>
              <w:jc w:val="center"/>
            </w:pPr>
          </w:p>
        </w:tc>
      </w:tr>
    </w:tbl>
    <w:p w14:paraId="31645331" w14:textId="77777777" w:rsidR="00C175DC" w:rsidRDefault="00C175DC">
      <w:pPr>
        <w:spacing w:after="100"/>
      </w:pPr>
    </w:p>
    <w:p w14:paraId="70D846F4" w14:textId="77777777" w:rsidR="00C175DC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Part 2 — Monthly Cost Projection</w:t>
      </w:r>
    </w:p>
    <w:p w14:paraId="3426FBC6" w14:textId="77777777" w:rsidR="00C175DC" w:rsidRDefault="00000000">
      <w:pPr>
        <w:spacing w:before="60" w:after="60"/>
        <w:jc w:val="both"/>
      </w:pPr>
      <w:r>
        <w:t>Based on the hourly rates quoted above and the estimated monthly hours, complete the projected monthly cost table. Figures are for evaluation purposes only.</w:t>
      </w:r>
    </w:p>
    <w:p w14:paraId="56959B97" w14:textId="77777777" w:rsidR="00C175DC" w:rsidRDefault="00C175DC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1200"/>
        <w:gridCol w:w="1500"/>
        <w:gridCol w:w="1300"/>
        <w:gridCol w:w="1526"/>
      </w:tblGrid>
      <w:tr w:rsidR="00C175DC" w14:paraId="1E6E8B97" w14:textId="77777777">
        <w:tc>
          <w:tcPr>
            <w:tcW w:w="35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47EE6B1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Service Category</w:t>
            </w:r>
          </w:p>
        </w:tc>
        <w:tc>
          <w:tcPr>
            <w:tcW w:w="12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364F149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Est.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Hrs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/Month</w:t>
            </w:r>
          </w:p>
        </w:tc>
        <w:tc>
          <w:tcPr>
            <w:tcW w:w="15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896751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Rate (TND/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hr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 ex. VAT</w:t>
            </w:r>
          </w:p>
        </w:tc>
        <w:tc>
          <w:tcPr>
            <w:tcW w:w="13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4D7A8C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Est. Cost ex. VAT</w:t>
            </w:r>
          </w:p>
        </w:tc>
        <w:tc>
          <w:tcPr>
            <w:tcW w:w="1526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3632AD2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Est. Cost Incl. VAT</w:t>
            </w:r>
          </w:p>
        </w:tc>
      </w:tr>
      <w:tr w:rsidR="00C175DC" w14:paraId="4B717183" w14:textId="77777777">
        <w:tc>
          <w:tcPr>
            <w:tcW w:w="35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DD668" w14:textId="77777777" w:rsidR="00C175DC" w:rsidRDefault="00000000">
            <w:r>
              <w:rPr>
                <w:sz w:val="20"/>
                <w:szCs w:val="20"/>
              </w:rPr>
              <w:t>Regular / Scheduled Maintenance</w:t>
            </w:r>
          </w:p>
        </w:tc>
        <w:tc>
          <w:tcPr>
            <w:tcW w:w="1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7103F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5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73120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49CBA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D480A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175DC" w14:paraId="0AB41C2B" w14:textId="77777777">
        <w:tc>
          <w:tcPr>
            <w:tcW w:w="35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C8C2D" w14:textId="77777777" w:rsidR="00C175DC" w:rsidRDefault="00000000">
            <w:r>
              <w:rPr>
                <w:sz w:val="20"/>
                <w:szCs w:val="20"/>
              </w:rPr>
              <w:t>On-Call / Reactive Support</w:t>
            </w:r>
          </w:p>
        </w:tc>
        <w:tc>
          <w:tcPr>
            <w:tcW w:w="12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A6F2B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5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78FC7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37FE4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E02F5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175DC" w14:paraId="2EF6371D" w14:textId="77777777">
        <w:tc>
          <w:tcPr>
            <w:tcW w:w="35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942B6" w14:textId="77777777" w:rsidR="00C175DC" w:rsidRDefault="00000000">
            <w:r>
              <w:rPr>
                <w:sz w:val="20"/>
                <w:szCs w:val="20"/>
              </w:rPr>
              <w:t>On-Site Intervention</w:t>
            </w:r>
          </w:p>
        </w:tc>
        <w:tc>
          <w:tcPr>
            <w:tcW w:w="12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11697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5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C437F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63228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F0C43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175DC" w14:paraId="291BDA0D" w14:textId="77777777">
        <w:tc>
          <w:tcPr>
            <w:tcW w:w="3500" w:type="dxa"/>
            <w:shd w:val="clear" w:color="auto" w:fill="40404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AD2608" w14:textId="77777777" w:rsidR="00C175DC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ESTIMATED MONTHLY TOTAL</w:t>
            </w:r>
          </w:p>
        </w:tc>
        <w:tc>
          <w:tcPr>
            <w:tcW w:w="1200" w:type="dxa"/>
            <w:shd w:val="clear" w:color="auto" w:fill="CC0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98DA39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shd w:val="clear" w:color="auto" w:fill="CC0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F883F7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shd w:val="clear" w:color="auto" w:fill="CC0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EB6A9A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shd w:val="clear" w:color="auto" w:fill="CC000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6587E9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</w:tbl>
    <w:p w14:paraId="2C88E77C" w14:textId="77777777" w:rsidR="00C175DC" w:rsidRDefault="00C175DC">
      <w:pPr>
        <w:spacing w:after="100"/>
      </w:pPr>
    </w:p>
    <w:p w14:paraId="1B2553D2" w14:textId="77777777" w:rsidR="00C175DC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Part 3 — Annual Cost Estimate</w:t>
      </w:r>
    </w:p>
    <w:p w14:paraId="020D559E" w14:textId="77777777" w:rsidR="00C175DC" w:rsidRDefault="00000000">
      <w:pPr>
        <w:spacing w:before="60" w:after="60"/>
        <w:jc w:val="both"/>
      </w:pPr>
      <w:r>
        <w:t>Indicate the estimated annual cost for the full contract period (12 months). This figure is used for comparative evaluation.</w:t>
      </w:r>
    </w:p>
    <w:p w14:paraId="549A35F6" w14:textId="77777777" w:rsidR="00C175DC" w:rsidRDefault="00C175DC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2213"/>
        <w:gridCol w:w="2213"/>
      </w:tblGrid>
      <w:tr w:rsidR="00C175DC" w14:paraId="0F506F57" w14:textId="77777777">
        <w:tc>
          <w:tcPr>
            <w:tcW w:w="46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14F49D" w14:textId="77777777" w:rsidR="00C175DC" w:rsidRDefault="00C175DC">
            <w:pPr>
              <w:jc w:val="center"/>
            </w:pPr>
          </w:p>
        </w:tc>
        <w:tc>
          <w:tcPr>
            <w:tcW w:w="2213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DF8F823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 ex. VAT (TND)</w:t>
            </w:r>
          </w:p>
        </w:tc>
        <w:tc>
          <w:tcPr>
            <w:tcW w:w="2213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542D08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Amount Incl. VAT (TND)</w:t>
            </w:r>
          </w:p>
        </w:tc>
      </w:tr>
      <w:tr w:rsidR="00C175DC" w14:paraId="49B2E7DD" w14:textId="77777777">
        <w:tc>
          <w:tcPr>
            <w:tcW w:w="46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C1182" w14:textId="77777777" w:rsidR="00C175DC" w:rsidRDefault="00000000">
            <w:r>
              <w:rPr>
                <w:sz w:val="20"/>
                <w:szCs w:val="20"/>
              </w:rPr>
              <w:t>Estimated Annual Total (12 months)</w:t>
            </w:r>
          </w:p>
        </w:tc>
        <w:tc>
          <w:tcPr>
            <w:tcW w:w="2213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864D7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18A48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F75DEDA" w14:textId="77777777" w:rsidR="00C175DC" w:rsidRDefault="00C175DC">
      <w:pPr>
        <w:spacing w:after="100"/>
      </w:pPr>
    </w:p>
    <w:p w14:paraId="17F33BAC" w14:textId="77777777" w:rsidR="00C175DC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Part 4 — Additional Cost Disclosures</w:t>
      </w:r>
    </w:p>
    <w:p w14:paraId="6944ED4E" w14:textId="77777777" w:rsidR="00C175DC" w:rsidRDefault="00000000">
      <w:pPr>
        <w:spacing w:before="60" w:after="60"/>
        <w:jc w:val="both"/>
      </w:pPr>
      <w:r>
        <w:t>Declare any costs not included in the hourly rates above that may be invoiced separately (e.g. hardware procurement fees, emergency out-of-hours surcharges). If none, write 'None'.</w:t>
      </w:r>
    </w:p>
    <w:p w14:paraId="1450AF8B" w14:textId="77777777" w:rsidR="00C175DC" w:rsidRDefault="00C175DC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2213"/>
        <w:gridCol w:w="2213"/>
      </w:tblGrid>
      <w:tr w:rsidR="00C175DC" w14:paraId="21A13110" w14:textId="77777777">
        <w:tc>
          <w:tcPr>
            <w:tcW w:w="4600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6B11AD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2213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92242B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Unit / Basis</w:t>
            </w:r>
          </w:p>
        </w:tc>
        <w:tc>
          <w:tcPr>
            <w:tcW w:w="2213" w:type="dxa"/>
            <w:shd w:val="clear" w:color="auto" w:fill="40404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824515" w14:textId="77777777" w:rsidR="00C175D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Rate / Amount (TND)</w:t>
            </w:r>
          </w:p>
        </w:tc>
      </w:tr>
      <w:tr w:rsidR="00C175DC" w14:paraId="37599E96" w14:textId="77777777">
        <w:tc>
          <w:tcPr>
            <w:tcW w:w="46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E40529" w14:textId="77777777" w:rsidR="00C175DC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6C146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169ED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175DC" w14:paraId="37ED33CC" w14:textId="77777777">
        <w:tc>
          <w:tcPr>
            <w:tcW w:w="4600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5B324" w14:textId="77777777" w:rsidR="00C175DC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62CF8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7E51C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175DC" w14:paraId="7727D8D5" w14:textId="77777777">
        <w:tc>
          <w:tcPr>
            <w:tcW w:w="460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8DDAC" w14:textId="77777777" w:rsidR="00C175DC" w:rsidRDefault="00000000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CCAAD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83BB9" w14:textId="77777777" w:rsidR="00C175DC" w:rsidRDefault="00000000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EB65F29" w14:textId="77777777" w:rsidR="00C175DC" w:rsidRDefault="00C175DC">
      <w:pPr>
        <w:spacing w:after="100"/>
      </w:pPr>
    </w:p>
    <w:p w14:paraId="456D846E" w14:textId="77777777" w:rsidR="00C175DC" w:rsidRDefault="00000000">
      <w:pPr>
        <w:spacing w:before="220" w:after="80"/>
      </w:pPr>
      <w:r>
        <w:rPr>
          <w:b/>
          <w:bCs/>
          <w:color w:val="CC0000"/>
          <w:sz w:val="24"/>
          <w:szCs w:val="24"/>
        </w:rPr>
        <w:t>Part 5 — Validity and Signature</w:t>
      </w:r>
    </w:p>
    <w:p w14:paraId="157E5651" w14:textId="77777777" w:rsidR="00C175DC" w:rsidRDefault="00000000">
      <w:pPr>
        <w:spacing w:before="60" w:after="60"/>
        <w:jc w:val="both"/>
      </w:pPr>
      <w:r>
        <w:t>This financial offer remains valid for a period of ninety (90) days from the submission deadline.</w:t>
      </w:r>
    </w:p>
    <w:p w14:paraId="2AC2198C" w14:textId="77777777" w:rsidR="00C175DC" w:rsidRDefault="00C175DC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C175DC" w14:paraId="272C88C3" w14:textId="77777777"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35AEB92" w14:textId="77777777" w:rsidR="00C175DC" w:rsidRDefault="00000000">
            <w:r>
              <w:rPr>
                <w:b/>
                <w:bCs/>
              </w:rPr>
              <w:t xml:space="preserve">Name of </w:t>
            </w:r>
            <w:proofErr w:type="spellStart"/>
            <w:r>
              <w:rPr>
                <w:b/>
                <w:bCs/>
              </w:rPr>
              <w:t>Authorised</w:t>
            </w:r>
            <w:proofErr w:type="spellEnd"/>
            <w:r>
              <w:rPr>
                <w:b/>
                <w:bCs/>
              </w:rPr>
              <w:t xml:space="preserve"> Signatory: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20C2678" w14:textId="77777777" w:rsidR="00C175DC" w:rsidRDefault="00000000">
            <w:r>
              <w:t xml:space="preserve"> </w:t>
            </w:r>
          </w:p>
        </w:tc>
      </w:tr>
    </w:tbl>
    <w:p w14:paraId="72875909" w14:textId="77777777" w:rsidR="00C175DC" w:rsidRDefault="00C175DC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C175DC" w14:paraId="25ACE264" w14:textId="77777777"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D6FA7F4" w14:textId="77777777" w:rsidR="00C175DC" w:rsidRDefault="00000000">
            <w:r>
              <w:rPr>
                <w:b/>
                <w:bCs/>
              </w:rPr>
              <w:t>Title / Position: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F8B14E1" w14:textId="77777777" w:rsidR="00C175DC" w:rsidRDefault="00000000">
            <w:r>
              <w:t xml:space="preserve"> </w:t>
            </w:r>
          </w:p>
        </w:tc>
      </w:tr>
    </w:tbl>
    <w:p w14:paraId="7475EA52" w14:textId="77777777" w:rsidR="00C175DC" w:rsidRDefault="00C175DC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C175DC" w14:paraId="364D14A0" w14:textId="77777777"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AAB3D61" w14:textId="77777777" w:rsidR="00C175DC" w:rsidRDefault="00000000">
            <w:r>
              <w:rPr>
                <w:b/>
                <w:bCs/>
              </w:rPr>
              <w:t>Date: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465E9A2A" w14:textId="77777777" w:rsidR="00C175DC" w:rsidRDefault="00000000">
            <w:r>
              <w:t xml:space="preserve"> </w:t>
            </w:r>
          </w:p>
        </w:tc>
      </w:tr>
    </w:tbl>
    <w:p w14:paraId="461D1006" w14:textId="77777777" w:rsidR="00C175DC" w:rsidRDefault="00C175DC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C175DC" w14:paraId="667375EE" w14:textId="77777777">
        <w:tc>
          <w:tcPr>
            <w:tcW w:w="24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3FC7E1C" w14:textId="77777777" w:rsidR="00C175DC" w:rsidRDefault="00000000">
            <w:r>
              <w:rPr>
                <w:b/>
                <w:bCs/>
              </w:rPr>
              <w:t>Signature:</w:t>
            </w:r>
          </w:p>
        </w:tc>
        <w:tc>
          <w:tcPr>
            <w:tcW w:w="6626" w:type="dxa"/>
            <w:tcBorders>
              <w:bottom w:val="single" w:sz="4" w:space="0" w:color="404040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687EE065" w14:textId="77777777" w:rsidR="00C175DC" w:rsidRDefault="00000000">
            <w:r>
              <w:t xml:space="preserve"> </w:t>
            </w:r>
          </w:p>
        </w:tc>
      </w:tr>
    </w:tbl>
    <w:p w14:paraId="7680133C" w14:textId="77777777" w:rsidR="00C175DC" w:rsidRDefault="00C175DC">
      <w:pPr>
        <w:spacing w:after="40"/>
      </w:pPr>
    </w:p>
    <w:p w14:paraId="2A6ED497" w14:textId="77777777" w:rsidR="00C175DC" w:rsidRDefault="00000000">
      <w:pPr>
        <w:spacing w:before="80"/>
      </w:pPr>
      <w:r>
        <w:rPr>
          <w:color w:val="404040"/>
          <w:sz w:val="18"/>
          <w:szCs w:val="18"/>
        </w:rPr>
        <w:t>(Company stamp, if applicable)</w:t>
      </w:r>
    </w:p>
    <w:sectPr w:rsidR="00C175DC">
      <w:headerReference w:type="default" r:id="rId7"/>
      <w:footerReference w:type="default" r:id="rId8"/>
      <w:pgSz w:w="11906" w:h="16838"/>
      <w:pgMar w:top="1400" w:right="1300" w:bottom="144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E9EB" w14:textId="77777777" w:rsidR="006D16EE" w:rsidRDefault="006D16EE">
      <w:r>
        <w:separator/>
      </w:r>
    </w:p>
  </w:endnote>
  <w:endnote w:type="continuationSeparator" w:id="0">
    <w:p w14:paraId="771E37EA" w14:textId="77777777" w:rsidR="006D16EE" w:rsidRDefault="006D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174C" w14:textId="77777777" w:rsidR="00C175DC" w:rsidRDefault="00000000">
    <w:pPr>
      <w:pBdr>
        <w:top w:val="single" w:sz="4" w:space="4" w:color="D9D9D9"/>
      </w:pBdr>
      <w:tabs>
        <w:tab w:val="right" w:pos="9026"/>
      </w:tabs>
      <w:spacing w:before="60"/>
    </w:pPr>
    <w:r>
      <w:rPr>
        <w:color w:val="404040"/>
        <w:sz w:val="16"/>
        <w:szCs w:val="16"/>
      </w:rPr>
      <w:t>RLS–ADMIN–IT Admin Service–2026/</w:t>
    </w:r>
    <w:proofErr w:type="gramStart"/>
    <w:r>
      <w:rPr>
        <w:color w:val="404040"/>
        <w:sz w:val="16"/>
        <w:szCs w:val="16"/>
      </w:rPr>
      <w:t>2027  |</w:t>
    </w:r>
    <w:proofErr w:type="gramEnd"/>
    <w:r>
      <w:rPr>
        <w:color w:val="404040"/>
        <w:sz w:val="16"/>
        <w:szCs w:val="16"/>
      </w:rPr>
      <w:t xml:space="preserve">  Annex III</w:t>
    </w:r>
    <w:r>
      <w:rPr>
        <w:color w:val="404040"/>
        <w:sz w:val="16"/>
        <w:szCs w:val="16"/>
      </w:rPr>
      <w:tab/>
      <w:t xml:space="preserve">Page </w:t>
    </w:r>
    <w:r>
      <w:rPr>
        <w:color w:val="404040"/>
        <w:sz w:val="16"/>
        <w:szCs w:val="16"/>
      </w:rPr>
      <w:fldChar w:fldCharType="begin"/>
    </w:r>
    <w:r>
      <w:rPr>
        <w:color w:val="404040"/>
        <w:sz w:val="16"/>
        <w:szCs w:val="16"/>
      </w:rPr>
      <w:instrText>PAGE</w:instrText>
    </w:r>
    <w:r>
      <w:rPr>
        <w:color w:val="404040"/>
        <w:sz w:val="16"/>
        <w:szCs w:val="16"/>
      </w:rPr>
      <w:fldChar w:fldCharType="separate"/>
    </w:r>
    <w:r w:rsidR="00563271">
      <w:rPr>
        <w:noProof/>
        <w:color w:val="404040"/>
        <w:sz w:val="16"/>
        <w:szCs w:val="16"/>
      </w:rPr>
      <w:t>1</w:t>
    </w:r>
    <w:r>
      <w:rPr>
        <w:color w:val="40404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2F45" w14:textId="77777777" w:rsidR="006D16EE" w:rsidRDefault="006D16EE">
      <w:r>
        <w:separator/>
      </w:r>
    </w:p>
  </w:footnote>
  <w:footnote w:type="continuationSeparator" w:id="0">
    <w:p w14:paraId="7BF171A9" w14:textId="77777777" w:rsidR="006D16EE" w:rsidRDefault="006D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6D57" w14:textId="77777777" w:rsidR="00C175DC" w:rsidRDefault="00000000">
    <w:pPr>
      <w:pBdr>
        <w:bottom w:val="single" w:sz="6" w:space="4" w:color="CC0000"/>
      </w:pBdr>
      <w:tabs>
        <w:tab w:val="right" w:pos="9026"/>
      </w:tabs>
      <w:spacing w:after="60"/>
    </w:pPr>
    <w:r>
      <w:rPr>
        <w:b/>
        <w:bCs/>
        <w:color w:val="CC0000"/>
        <w:sz w:val="18"/>
        <w:szCs w:val="18"/>
      </w:rPr>
      <w:t>ROSA LUXEMBURG STIFTUNG</w:t>
    </w:r>
    <w:r>
      <w:rPr>
        <w:color w:val="404040"/>
        <w:sz w:val="18"/>
        <w:szCs w:val="18"/>
      </w:rPr>
      <w:t xml:space="preserve">   |   North Africa Office</w:t>
    </w:r>
    <w:r>
      <w:rPr>
        <w:color w:val="404040"/>
        <w:sz w:val="18"/>
        <w:szCs w:val="18"/>
      </w:rPr>
      <w:tab/>
      <w:t>Annex III — Financial Offer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50DA5"/>
    <w:multiLevelType w:val="hybridMultilevel"/>
    <w:tmpl w:val="4AAC1FE8"/>
    <w:lvl w:ilvl="0" w:tplc="7E3C453E">
      <w:start w:val="1"/>
      <w:numFmt w:val="bullet"/>
      <w:lvlText w:val="●"/>
      <w:lvlJc w:val="left"/>
      <w:pPr>
        <w:ind w:left="720" w:hanging="360"/>
      </w:pPr>
    </w:lvl>
    <w:lvl w:ilvl="1" w:tplc="B2ACF2F4">
      <w:start w:val="1"/>
      <w:numFmt w:val="bullet"/>
      <w:lvlText w:val="○"/>
      <w:lvlJc w:val="left"/>
      <w:pPr>
        <w:ind w:left="1440" w:hanging="360"/>
      </w:pPr>
    </w:lvl>
    <w:lvl w:ilvl="2" w:tplc="31FCEB2E">
      <w:start w:val="1"/>
      <w:numFmt w:val="bullet"/>
      <w:lvlText w:val="■"/>
      <w:lvlJc w:val="left"/>
      <w:pPr>
        <w:ind w:left="2160" w:hanging="360"/>
      </w:pPr>
    </w:lvl>
    <w:lvl w:ilvl="3" w:tplc="D2185BC6">
      <w:start w:val="1"/>
      <w:numFmt w:val="bullet"/>
      <w:lvlText w:val="●"/>
      <w:lvlJc w:val="left"/>
      <w:pPr>
        <w:ind w:left="2880" w:hanging="360"/>
      </w:pPr>
    </w:lvl>
    <w:lvl w:ilvl="4" w:tplc="3C9C9350">
      <w:start w:val="1"/>
      <w:numFmt w:val="bullet"/>
      <w:lvlText w:val="○"/>
      <w:lvlJc w:val="left"/>
      <w:pPr>
        <w:ind w:left="3600" w:hanging="360"/>
      </w:pPr>
    </w:lvl>
    <w:lvl w:ilvl="5" w:tplc="030C5E16">
      <w:start w:val="1"/>
      <w:numFmt w:val="bullet"/>
      <w:lvlText w:val="■"/>
      <w:lvlJc w:val="left"/>
      <w:pPr>
        <w:ind w:left="4320" w:hanging="360"/>
      </w:pPr>
    </w:lvl>
    <w:lvl w:ilvl="6" w:tplc="CB24DB2C">
      <w:start w:val="1"/>
      <w:numFmt w:val="bullet"/>
      <w:lvlText w:val="●"/>
      <w:lvlJc w:val="left"/>
      <w:pPr>
        <w:ind w:left="5040" w:hanging="360"/>
      </w:pPr>
    </w:lvl>
    <w:lvl w:ilvl="7" w:tplc="D5384D18">
      <w:start w:val="1"/>
      <w:numFmt w:val="bullet"/>
      <w:lvlText w:val="●"/>
      <w:lvlJc w:val="left"/>
      <w:pPr>
        <w:ind w:left="5760" w:hanging="360"/>
      </w:pPr>
    </w:lvl>
    <w:lvl w:ilvl="8" w:tplc="162856F6">
      <w:start w:val="1"/>
      <w:numFmt w:val="bullet"/>
      <w:lvlText w:val="●"/>
      <w:lvlJc w:val="left"/>
      <w:pPr>
        <w:ind w:left="6480" w:hanging="360"/>
      </w:pPr>
    </w:lvl>
  </w:abstractNum>
  <w:num w:numId="1" w16cid:durableId="5232045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DC"/>
    <w:rsid w:val="000D580E"/>
    <w:rsid w:val="00563271"/>
    <w:rsid w:val="00583BE4"/>
    <w:rsid w:val="006C56A0"/>
    <w:rsid w:val="006D16EE"/>
    <w:rsid w:val="00AF664C"/>
    <w:rsid w:val="00C1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8B4BE"/>
  <w15:docId w15:val="{0887EFBF-F6C3-47F6-A396-E3E90555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5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6A0"/>
  </w:style>
  <w:style w:type="paragraph" w:styleId="Footer">
    <w:name w:val="footer"/>
    <w:basedOn w:val="Normal"/>
    <w:link w:val="FooterChar"/>
    <w:uiPriority w:val="99"/>
    <w:unhideWhenUsed/>
    <w:rsid w:val="006C5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2011</Characters>
  <Application>Microsoft Office Word</Application>
  <DocSecurity>0</DocSecurity>
  <Lines>16</Lines>
  <Paragraphs>4</Paragraphs>
  <ScaleCrop>false</ScaleCrop>
  <Company>RLS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Noll, Dominic</cp:lastModifiedBy>
  <cp:revision>4</cp:revision>
  <dcterms:created xsi:type="dcterms:W3CDTF">2026-04-03T10:40:00Z</dcterms:created>
  <dcterms:modified xsi:type="dcterms:W3CDTF">2026-04-29T13:57:00Z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30a45da8-ae61-4810-b4a0-59ccdc6eaf19</vt:lpwstr>
  </property>
</Properties>
</file>