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13F92" w14:textId="4A6D50F2" w:rsidR="000A5D57" w:rsidRPr="000A5D57" w:rsidRDefault="000A5D57" w:rsidP="000A5D57">
      <w:pPr>
        <w:rPr>
          <w:rFonts w:ascii="Calibri" w:hAnsi="Calibri" w:cs="Calibri"/>
          <w:b/>
          <w:bCs/>
          <w:sz w:val="36"/>
          <w:szCs w:val="36"/>
        </w:rPr>
      </w:pPr>
      <w:r w:rsidRPr="000A5D57">
        <w:rPr>
          <w:rFonts w:ascii="Calibri" w:hAnsi="Calibri" w:cs="Calibri"/>
          <w:b/>
          <w:bCs/>
          <w:sz w:val="36"/>
          <w:szCs w:val="36"/>
        </w:rPr>
        <w:t>Annex B: Sample Translation Text (English to Arabic)</w:t>
      </w:r>
    </w:p>
    <w:p w14:paraId="48A09051" w14:textId="5553E8F9" w:rsidR="000A5D57" w:rsidRPr="000A5D57" w:rsidRDefault="000A5D57" w:rsidP="000A5D57">
      <w:pPr>
        <w:rPr>
          <w:rFonts w:ascii="Calibri" w:hAnsi="Calibri" w:cs="Calibri"/>
        </w:rPr>
      </w:pPr>
      <w:r w:rsidRPr="000A5D57">
        <w:rPr>
          <w:rFonts w:ascii="Calibri" w:hAnsi="Calibri" w:cs="Calibri"/>
        </w:rPr>
        <w:t xml:space="preserve">Please translate the following text from </w:t>
      </w:r>
      <w:r w:rsidRPr="00AE7D34">
        <w:rPr>
          <w:rFonts w:ascii="Calibri" w:hAnsi="Calibri" w:cs="Calibri"/>
          <w:b/>
          <w:bCs/>
          <w:color w:val="FF0000"/>
        </w:rPr>
        <w:t>English to Arabic</w:t>
      </w:r>
      <w:r w:rsidR="00AE7D34" w:rsidRPr="00AE7D34">
        <w:rPr>
          <w:rFonts w:ascii="Calibri" w:hAnsi="Calibri" w:cs="Calibri"/>
          <w:b/>
          <w:bCs/>
          <w:color w:val="FF0000"/>
        </w:rPr>
        <w:t xml:space="preserve"> and to French</w:t>
      </w:r>
      <w:r w:rsidR="00AE7D34" w:rsidRPr="00AE7D34">
        <w:rPr>
          <w:rFonts w:ascii="Calibri" w:hAnsi="Calibri" w:cs="Calibri"/>
          <w:color w:val="FF0000"/>
        </w:rPr>
        <w:t xml:space="preserve"> </w:t>
      </w:r>
      <w:r w:rsidRPr="000A5D57">
        <w:rPr>
          <w:rFonts w:ascii="Calibri" w:hAnsi="Calibri" w:cs="Calibri"/>
        </w:rPr>
        <w:t xml:space="preserve">as a sample for your bid submission. This excerpt is part of a larger document </w:t>
      </w:r>
      <w:r>
        <w:rPr>
          <w:rFonts w:ascii="Calibri" w:hAnsi="Calibri" w:cs="Calibri"/>
        </w:rPr>
        <w:t xml:space="preserve">under the following link: </w:t>
      </w:r>
      <w:hyperlink r:id="rId7" w:history="1">
        <w:r w:rsidRPr="00170313">
          <w:rPr>
            <w:rStyle w:val="Hyperlink"/>
          </w:rPr>
          <w:t>U.S. Monetary Policy</w:t>
        </w:r>
      </w:hyperlink>
    </w:p>
    <w:p w14:paraId="52CD49D1" w14:textId="77777777" w:rsidR="000A5D57" w:rsidRPr="000A5D57" w:rsidRDefault="00AE7D34" w:rsidP="000A5D57">
      <w:pPr>
        <w:rPr>
          <w:rFonts w:ascii="Calibri" w:hAnsi="Calibri" w:cs="Calibri"/>
        </w:rPr>
      </w:pPr>
      <w:r>
        <w:rPr>
          <w:rFonts w:ascii="Calibri" w:hAnsi="Calibri" w:cs="Calibri"/>
        </w:rPr>
        <w:pict w14:anchorId="79AAB102">
          <v:rect id="_x0000_i1025" style="width:0;height:1.5pt" o:hralign="center" o:hrstd="t" o:hr="t" fillcolor="#a0a0a0" stroked="f"/>
        </w:pict>
      </w:r>
    </w:p>
    <w:p w14:paraId="2895C153" w14:textId="77777777" w:rsidR="000A5D57" w:rsidRPr="000A5D57" w:rsidRDefault="000A5D57" w:rsidP="000A5D57">
      <w:pPr>
        <w:jc w:val="both"/>
        <w:rPr>
          <w:rFonts w:ascii="Calibri" w:hAnsi="Calibri" w:cs="Calibri"/>
        </w:rPr>
      </w:pPr>
      <w:r w:rsidRPr="000A5D57">
        <w:rPr>
          <w:rFonts w:ascii="Calibri" w:hAnsi="Calibri" w:cs="Calibri"/>
        </w:rPr>
        <w:t>The Volcker Shock of the early 1980s was also a defining moment that replaced “full employment” target by “inflation targeting” as the dominant monetary policy framework for decades to come.</w:t>
      </w:r>
    </w:p>
    <w:p w14:paraId="1426644C" w14:textId="77777777" w:rsidR="000A5D57" w:rsidRPr="000A5D57" w:rsidRDefault="000A5D57" w:rsidP="000A5D57">
      <w:pPr>
        <w:jc w:val="both"/>
        <w:rPr>
          <w:rFonts w:ascii="Calibri" w:hAnsi="Calibri" w:cs="Calibri"/>
        </w:rPr>
      </w:pPr>
      <w:r w:rsidRPr="000A5D57">
        <w:rPr>
          <w:rFonts w:ascii="Calibri" w:hAnsi="Calibri" w:cs="Calibri"/>
        </w:rPr>
        <w:t xml:space="preserve">On a worldwide scale Andreas Kern, Bernhard </w:t>
      </w:r>
      <w:proofErr w:type="spellStart"/>
      <w:r w:rsidRPr="000A5D57">
        <w:rPr>
          <w:rFonts w:ascii="Calibri" w:hAnsi="Calibri" w:cs="Calibri"/>
        </w:rPr>
        <w:t>Reinsberg</w:t>
      </w:r>
      <w:proofErr w:type="spellEnd"/>
      <w:r w:rsidRPr="000A5D57">
        <w:rPr>
          <w:rFonts w:ascii="Calibri" w:hAnsi="Calibri" w:cs="Calibri"/>
        </w:rPr>
        <w:t>, and Matthias Rau-</w:t>
      </w:r>
      <w:proofErr w:type="spellStart"/>
      <w:r w:rsidRPr="000A5D57">
        <w:rPr>
          <w:rFonts w:ascii="Calibri" w:hAnsi="Calibri" w:cs="Calibri"/>
        </w:rPr>
        <w:t>Göhring</w:t>
      </w:r>
      <w:proofErr w:type="spellEnd"/>
      <w:r w:rsidRPr="000A5D57">
        <w:rPr>
          <w:rFonts w:ascii="Calibri" w:hAnsi="Calibri" w:cs="Calibri"/>
        </w:rPr>
        <w:t xml:space="preserve"> argue in their study on IMF structural adjustment programs that, central bank independence is neither a neutral nor sacred goal, but rather a critical mechanism within the neoliberal agenda. Their research, which analyzed data from over 120 countries between 1980 and 2014, reveals how IMF conditionalities systematically promote central bank independence specifically to limit government intervention in monetary policy, facilitating capital accumulation for financial elites by prioritizing “inflation targeting” at the expense of broader social objectives such as “full employment” and “equitable economic development” goals.</w:t>
      </w:r>
    </w:p>
    <w:p w14:paraId="1FE2749A" w14:textId="77777777" w:rsidR="000A5D57" w:rsidRPr="000A5D57" w:rsidRDefault="000A5D57" w:rsidP="000A5D57">
      <w:pPr>
        <w:jc w:val="both"/>
        <w:rPr>
          <w:rFonts w:ascii="Calibri" w:hAnsi="Calibri" w:cs="Calibri"/>
        </w:rPr>
      </w:pPr>
      <w:r w:rsidRPr="000A5D57">
        <w:rPr>
          <w:rFonts w:ascii="Calibri" w:hAnsi="Calibri" w:cs="Calibri"/>
        </w:rPr>
        <w:t>The global financial crisis, however, showed that this narrow goal was inadequate for ensuring financial stability, challenging the fundamental consensus of the classical central bank independence paradigm. The Fed’s new operating framework adopted in response to the 2008 crisis centered on paying Interest on Reserve Balances (IORB) and quantitative easing (QE). This marked a pivotal moment, embedding the institution deeper within the interests of ruling class power structures. This strategic reconfiguration did not weaken its autonomy but recalibrated it to serve the financial class by embedding the Fed within the architecture of financial power through the following mechanisms:</w:t>
      </w:r>
    </w:p>
    <w:p w14:paraId="4DA00C3D" w14:textId="77777777" w:rsidR="000A5D57" w:rsidRPr="000A5D57" w:rsidRDefault="000A5D57" w:rsidP="000A5D57">
      <w:pPr>
        <w:numPr>
          <w:ilvl w:val="0"/>
          <w:numId w:val="1"/>
        </w:numPr>
        <w:jc w:val="both"/>
        <w:rPr>
          <w:rFonts w:ascii="Calibri" w:hAnsi="Calibri" w:cs="Calibri"/>
        </w:rPr>
      </w:pPr>
      <w:r w:rsidRPr="000A5D57">
        <w:rPr>
          <w:rFonts w:ascii="Calibri" w:hAnsi="Calibri" w:cs="Calibri"/>
        </w:rPr>
        <w:t>Institutionalizing the Dealer-of-Last-Resort Function: The Fed abandoned its traditional role as a neutral "market-maker-of-last-resort" to become an active "dealer-of-last-resort." It now permanently manages the core funding markets for Wall Street (like the repo market), effectively guaranteeing the liquidity and profitability of the largest financial institutions. This deep, structural entanglement ensures their survival is the primary precondition for monetary policy.</w:t>
      </w:r>
    </w:p>
    <w:p w14:paraId="10026744" w14:textId="77777777" w:rsidR="000A5D57" w:rsidRPr="000A5D57" w:rsidRDefault="000A5D57" w:rsidP="000A5D57">
      <w:pPr>
        <w:numPr>
          <w:ilvl w:val="0"/>
          <w:numId w:val="1"/>
        </w:numPr>
        <w:jc w:val="both"/>
        <w:rPr>
          <w:rFonts w:ascii="Calibri" w:hAnsi="Calibri" w:cs="Calibri"/>
        </w:rPr>
      </w:pPr>
      <w:r w:rsidRPr="000A5D57">
        <w:rPr>
          <w:rFonts w:ascii="Calibri" w:hAnsi="Calibri" w:cs="Calibri"/>
        </w:rPr>
        <w:t>De-risking state role: Socializing Risk and Privatizing Gain: By purchasing trillions in toxic private assets (MBS) and government debt, the Fed socialized the losses of the financial class onto its own balance sheet. Concurrently, paying IORB provides a massive, risk-free subsidy to commercial banks for the reserves created by these emergency actions, directly transferring public funds to financial elites.</w:t>
      </w:r>
    </w:p>
    <w:p w14:paraId="47404CC8" w14:textId="77777777" w:rsidR="000A5D57" w:rsidRPr="000A5D57" w:rsidRDefault="000A5D57" w:rsidP="000A5D57">
      <w:pPr>
        <w:numPr>
          <w:ilvl w:val="0"/>
          <w:numId w:val="1"/>
        </w:numPr>
        <w:jc w:val="both"/>
        <w:rPr>
          <w:rFonts w:ascii="Calibri" w:hAnsi="Calibri" w:cs="Calibri"/>
        </w:rPr>
      </w:pPr>
      <w:r w:rsidRPr="000A5D57">
        <w:rPr>
          <w:rFonts w:ascii="Calibri" w:hAnsi="Calibri" w:cs="Calibri"/>
        </w:rPr>
        <w:lastRenderedPageBreak/>
        <w:t>Enforcing Financial Discipline: The framework disciplines the state itself by managing the cost of public debt (via QE and interest rates) and disciplines labor by using the threat of inflation and unemployment to suppress wage demands, all while ensuring asset prices (the primary wealth source for the owning class) remain supported.</w:t>
      </w:r>
    </w:p>
    <w:p w14:paraId="08CE6D86" w14:textId="77777777" w:rsidR="000A5D57" w:rsidRPr="000A5D57" w:rsidRDefault="000A5D57" w:rsidP="000A5D57">
      <w:pPr>
        <w:jc w:val="both"/>
        <w:rPr>
          <w:rFonts w:ascii="Calibri" w:hAnsi="Calibri" w:cs="Calibri"/>
        </w:rPr>
      </w:pPr>
      <w:r w:rsidRPr="000A5D57">
        <w:rPr>
          <w:rFonts w:ascii="Calibri" w:hAnsi="Calibri" w:cs="Calibri"/>
        </w:rPr>
        <w:t>Far from a loss of independence, these shifts represent the Fed's adaptation to safeguard capitalist accumulation amid systemic crisis. Its legal protections do not enable democratic accountability but insulate a class project: securing the financial system for elites against popular oversight, using the state's power to socialize the risks of private profit-seeking.</w:t>
      </w:r>
    </w:p>
    <w:p w14:paraId="724C717D" w14:textId="77777777" w:rsidR="00702158" w:rsidRPr="000A5D57" w:rsidRDefault="00702158">
      <w:pPr>
        <w:rPr>
          <w:rFonts w:ascii="Calibri" w:hAnsi="Calibri" w:cs="Calibri"/>
        </w:rPr>
      </w:pPr>
    </w:p>
    <w:sectPr w:rsidR="00702158" w:rsidRPr="000A5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2422" w14:textId="77777777" w:rsidR="00AE7D34" w:rsidRDefault="00AE7D34" w:rsidP="00AE7D34">
      <w:pPr>
        <w:spacing w:after="0" w:line="240" w:lineRule="auto"/>
        <w:rPr>
          <w:rFonts w:hint="eastAsia"/>
        </w:rPr>
      </w:pPr>
      <w:r>
        <w:separator/>
      </w:r>
    </w:p>
  </w:endnote>
  <w:endnote w:type="continuationSeparator" w:id="0">
    <w:p w14:paraId="4D8E03D0" w14:textId="77777777" w:rsidR="00AE7D34" w:rsidRDefault="00AE7D34" w:rsidP="00AE7D3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4296" w14:textId="77777777" w:rsidR="00AE7D34" w:rsidRDefault="00AE7D34" w:rsidP="00AE7D34">
      <w:pPr>
        <w:spacing w:after="0" w:line="240" w:lineRule="auto"/>
        <w:rPr>
          <w:rFonts w:hint="eastAsia"/>
        </w:rPr>
      </w:pPr>
      <w:r>
        <w:separator/>
      </w:r>
    </w:p>
  </w:footnote>
  <w:footnote w:type="continuationSeparator" w:id="0">
    <w:p w14:paraId="3AEDAFFB" w14:textId="77777777" w:rsidR="00AE7D34" w:rsidRDefault="00AE7D34" w:rsidP="00AE7D3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9442C"/>
    <w:multiLevelType w:val="multilevel"/>
    <w:tmpl w:val="F81E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66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57"/>
    <w:rsid w:val="000A5D57"/>
    <w:rsid w:val="003737DD"/>
    <w:rsid w:val="00702158"/>
    <w:rsid w:val="00914E7C"/>
    <w:rsid w:val="009327D2"/>
    <w:rsid w:val="00AE7D34"/>
    <w:rsid w:val="00F201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E6BD"/>
  <w15:chartTrackingRefBased/>
  <w15:docId w15:val="{7B1748DA-D7E5-463D-9DE2-AD523023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D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5D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5D5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5D5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5D5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5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D5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5D5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5D5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5D5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5D5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5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D57"/>
    <w:rPr>
      <w:rFonts w:eastAsiaTheme="majorEastAsia" w:cstheme="majorBidi"/>
      <w:color w:val="272727" w:themeColor="text1" w:themeTint="D8"/>
    </w:rPr>
  </w:style>
  <w:style w:type="paragraph" w:styleId="Title">
    <w:name w:val="Title"/>
    <w:basedOn w:val="Normal"/>
    <w:next w:val="Normal"/>
    <w:link w:val="TitleChar"/>
    <w:uiPriority w:val="10"/>
    <w:qFormat/>
    <w:rsid w:val="000A5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D57"/>
    <w:pPr>
      <w:spacing w:before="160"/>
      <w:jc w:val="center"/>
    </w:pPr>
    <w:rPr>
      <w:i/>
      <w:iCs/>
      <w:color w:val="404040" w:themeColor="text1" w:themeTint="BF"/>
    </w:rPr>
  </w:style>
  <w:style w:type="character" w:customStyle="1" w:styleId="QuoteChar">
    <w:name w:val="Quote Char"/>
    <w:basedOn w:val="DefaultParagraphFont"/>
    <w:link w:val="Quote"/>
    <w:uiPriority w:val="29"/>
    <w:rsid w:val="000A5D57"/>
    <w:rPr>
      <w:i/>
      <w:iCs/>
      <w:color w:val="404040" w:themeColor="text1" w:themeTint="BF"/>
    </w:rPr>
  </w:style>
  <w:style w:type="paragraph" w:styleId="ListParagraph">
    <w:name w:val="List Paragraph"/>
    <w:basedOn w:val="Normal"/>
    <w:uiPriority w:val="34"/>
    <w:qFormat/>
    <w:rsid w:val="000A5D57"/>
    <w:pPr>
      <w:ind w:left="720"/>
      <w:contextualSpacing/>
    </w:pPr>
  </w:style>
  <w:style w:type="character" w:styleId="IntenseEmphasis">
    <w:name w:val="Intense Emphasis"/>
    <w:basedOn w:val="DefaultParagraphFont"/>
    <w:uiPriority w:val="21"/>
    <w:qFormat/>
    <w:rsid w:val="000A5D57"/>
    <w:rPr>
      <w:i/>
      <w:iCs/>
      <w:color w:val="2E74B5" w:themeColor="accent1" w:themeShade="BF"/>
    </w:rPr>
  </w:style>
  <w:style w:type="paragraph" w:styleId="IntenseQuote">
    <w:name w:val="Intense Quote"/>
    <w:basedOn w:val="Normal"/>
    <w:next w:val="Normal"/>
    <w:link w:val="IntenseQuoteChar"/>
    <w:uiPriority w:val="30"/>
    <w:qFormat/>
    <w:rsid w:val="000A5D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5D57"/>
    <w:rPr>
      <w:i/>
      <w:iCs/>
      <w:color w:val="2E74B5" w:themeColor="accent1" w:themeShade="BF"/>
    </w:rPr>
  </w:style>
  <w:style w:type="character" w:styleId="IntenseReference">
    <w:name w:val="Intense Reference"/>
    <w:basedOn w:val="DefaultParagraphFont"/>
    <w:uiPriority w:val="32"/>
    <w:qFormat/>
    <w:rsid w:val="000A5D57"/>
    <w:rPr>
      <w:b/>
      <w:bCs/>
      <w:smallCaps/>
      <w:color w:val="2E74B5" w:themeColor="accent1" w:themeShade="BF"/>
      <w:spacing w:val="5"/>
    </w:rPr>
  </w:style>
  <w:style w:type="character" w:styleId="Hyperlink">
    <w:name w:val="Hyperlink"/>
    <w:basedOn w:val="DefaultParagraphFont"/>
    <w:uiPriority w:val="99"/>
    <w:unhideWhenUsed/>
    <w:rsid w:val="000A5D57"/>
    <w:rPr>
      <w:color w:val="0563C1" w:themeColor="hyperlink"/>
      <w:u w:val="single"/>
    </w:rPr>
  </w:style>
  <w:style w:type="paragraph" w:styleId="Header">
    <w:name w:val="header"/>
    <w:basedOn w:val="Normal"/>
    <w:link w:val="HeaderChar"/>
    <w:uiPriority w:val="99"/>
    <w:unhideWhenUsed/>
    <w:rsid w:val="00AE7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D34"/>
  </w:style>
  <w:style w:type="paragraph" w:styleId="Footer">
    <w:name w:val="footer"/>
    <w:basedOn w:val="Normal"/>
    <w:link w:val="FooterChar"/>
    <w:uiPriority w:val="99"/>
    <w:unhideWhenUsed/>
    <w:rsid w:val="00AE7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8037">
      <w:bodyDiv w:val="1"/>
      <w:marLeft w:val="0"/>
      <w:marRight w:val="0"/>
      <w:marTop w:val="0"/>
      <w:marBottom w:val="0"/>
      <w:divBdr>
        <w:top w:val="none" w:sz="0" w:space="0" w:color="auto"/>
        <w:left w:val="none" w:sz="0" w:space="0" w:color="auto"/>
        <w:bottom w:val="none" w:sz="0" w:space="0" w:color="auto"/>
        <w:right w:val="none" w:sz="0" w:space="0" w:color="auto"/>
      </w:divBdr>
    </w:div>
    <w:div w:id="14079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aluxna.org/wp-content/uploads/2025/09/U.S.-Monetary-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3002</Characters>
  <Application>Microsoft Office Word</Application>
  <DocSecurity>0</DocSecurity>
  <Lines>25</Lines>
  <Paragraphs>7</Paragraphs>
  <ScaleCrop>false</ScaleCrop>
  <Company>RLS</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BenZina, Rim</dc:creator>
  <cp:keywords/>
  <dc:description/>
  <cp:lastModifiedBy>Ben Zina, Rim</cp:lastModifiedBy>
  <cp:revision>2</cp:revision>
  <dcterms:created xsi:type="dcterms:W3CDTF">2025-11-03T11:07:00Z</dcterms:created>
  <dcterms:modified xsi:type="dcterms:W3CDTF">2025-11-18T15:22:00Z</dcterms:modified>
</cp:coreProperties>
</file>