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275F" w14:textId="18278F68" w:rsidR="009C385D" w:rsidRPr="009C385D" w:rsidRDefault="009C385D" w:rsidP="009C385D">
      <w:pPr>
        <w:pStyle w:val="Heading1"/>
        <w:jc w:val="center"/>
        <w:rPr>
          <w:rFonts w:ascii="Calibri" w:hAnsi="Calibri" w:cs="Calibri"/>
          <w:b/>
          <w:bCs/>
          <w:color w:val="auto"/>
          <w:sz w:val="36"/>
          <w:szCs w:val="36"/>
          <w:u w:val="single"/>
        </w:rPr>
      </w:pPr>
      <w:bookmarkStart w:id="0" w:name="_Toc186630766"/>
      <w:r w:rsidRPr="009C385D">
        <w:rPr>
          <w:rFonts w:ascii="Calibri" w:hAnsi="Calibri" w:cs="Calibri"/>
          <w:b/>
          <w:bCs/>
          <w:color w:val="auto"/>
          <w:sz w:val="36"/>
          <w:szCs w:val="36"/>
          <w:u w:val="single"/>
        </w:rPr>
        <w:t>Annex B</w:t>
      </w:r>
    </w:p>
    <w:p w14:paraId="13C5D013" w14:textId="5F295C05" w:rsidR="00E24BFA" w:rsidRPr="009C385D" w:rsidRDefault="00E24BFA" w:rsidP="00E24BFA">
      <w:pPr>
        <w:pStyle w:val="Heading1"/>
        <w:rPr>
          <w:rFonts w:ascii="Calibri" w:hAnsi="Calibri" w:cs="Calibri"/>
          <w:sz w:val="24"/>
          <w:szCs w:val="24"/>
        </w:rPr>
      </w:pPr>
      <w:r w:rsidRPr="009C385D">
        <w:rPr>
          <w:rFonts w:ascii="Calibri" w:hAnsi="Calibri" w:cs="Calibri"/>
          <w:sz w:val="24"/>
          <w:szCs w:val="24"/>
        </w:rPr>
        <w:t>Busting the hype: a realistic look at hydrogen's role in climate change</w:t>
      </w:r>
      <w:bookmarkEnd w:id="0"/>
    </w:p>
    <w:p w14:paraId="26CC1CE8" w14:textId="77777777" w:rsidR="00E24BFA" w:rsidRPr="009C385D" w:rsidRDefault="00E24BFA" w:rsidP="00E24BFA">
      <w:pPr>
        <w:rPr>
          <w:rFonts w:ascii="Calibri" w:hAnsi="Calibri" w:cs="Calibri"/>
        </w:rPr>
      </w:pPr>
      <w:r w:rsidRPr="009C385D">
        <w:rPr>
          <w:rFonts w:ascii="Calibri" w:hAnsi="Calibri" w:cs="Calibri"/>
        </w:rPr>
        <w:t>Hydrogen is a versatile energy carrier that can be produced from diverse sources, including natural gas, nuclear power, biomass, and renewable energy. The colour of hydrogen indicates its production method. Green hydrogen is produced from water electrolysis using renewable energy, while grey hydrogen is produced using natural gas and has a higher carbon footprint. Blue hydrogen is similar to grey hydrogen but with carbon capture and storage.</w:t>
      </w:r>
    </w:p>
    <w:p w14:paraId="7F7DA600" w14:textId="77777777" w:rsidR="00E24BFA" w:rsidRPr="009C385D" w:rsidRDefault="00E24BFA" w:rsidP="00E24BFA">
      <w:pPr>
        <w:rPr>
          <w:rFonts w:ascii="Calibri" w:hAnsi="Calibri" w:cs="Calibri"/>
        </w:rPr>
      </w:pPr>
      <w:r w:rsidRPr="009C385D">
        <w:rPr>
          <w:rFonts w:ascii="Calibri" w:hAnsi="Calibri" w:cs="Calibri"/>
        </w:rPr>
        <w:t>As an energy carrier, it may play a pivotal role in the energy transition by storing and transporting energy generated from other sources. This capability addresses the intermittency of renewables and facilitates long-distance transmission. Hence, its potential applications extend to transportation, electricity generation, and portable power are promising. Hydrogen is a hopeful option for sectors like aviation and maritime, where electric batteries may be inadequate.</w:t>
      </w:r>
    </w:p>
    <w:p w14:paraId="12565746" w14:textId="77777777" w:rsidR="00E24BFA" w:rsidRPr="009C385D" w:rsidRDefault="00E24BFA" w:rsidP="00E24BFA">
      <w:pPr>
        <w:rPr>
          <w:rFonts w:ascii="Calibri" w:hAnsi="Calibri" w:cs="Calibri"/>
        </w:rPr>
      </w:pPr>
      <w:r w:rsidRPr="009C385D">
        <w:rPr>
          <w:rFonts w:ascii="Calibri" w:hAnsi="Calibri" w:cs="Calibri"/>
        </w:rPr>
        <w:t>However, if the current energy transition presents hydrogen as a leading competitor to use in all sectors of the energy landscape, this is not the first time that this rhetoric has been used. Actually, the ‘Hydrogen Economy’ appear in 1972 as the appropriate technology to simultaneously decarbonizing the transport, residential, commercial and industrial sectors. Since, waves of hydrogen hype occurred in the 1970s and 2000s, driven by factors such as the oil crisis and advancements in fuel cell technology.</w:t>
      </w:r>
      <w:r w:rsidRPr="009C385D">
        <w:rPr>
          <w:rStyle w:val="FootnoteReference"/>
          <w:rFonts w:ascii="Calibri" w:hAnsi="Calibri" w:cs="Calibri"/>
        </w:rPr>
        <w:footnoteReference w:id="1"/>
      </w:r>
      <w:r w:rsidRPr="009C385D">
        <w:rPr>
          <w:rFonts w:ascii="Calibri" w:hAnsi="Calibri" w:cs="Calibri"/>
        </w:rPr>
        <w:t xml:space="preserve"> But the ‘Hydrogen Economy’ never took off. These ‘false starts’ on the emergence of a global hydrogen-based economy has been hindered mainly by substantial infrastructure investments. In addition, challenges in production, storage, transportation, distribution, and policy support have stifled the hydrogen widespread adoption.</w:t>
      </w:r>
      <w:r w:rsidRPr="009C385D">
        <w:rPr>
          <w:rStyle w:val="FootnoteReference"/>
          <w:rFonts w:ascii="Calibri" w:hAnsi="Calibri" w:cs="Calibri"/>
        </w:rPr>
        <w:footnoteReference w:id="2"/>
      </w:r>
      <w:r w:rsidRPr="009C385D">
        <w:rPr>
          <w:rFonts w:ascii="Calibri" w:hAnsi="Calibri" w:cs="Calibri"/>
        </w:rPr>
        <w:t xml:space="preserve"> </w:t>
      </w:r>
    </w:p>
    <w:p w14:paraId="155EC2EB" w14:textId="77777777" w:rsidR="00E24BFA" w:rsidRPr="009C385D" w:rsidRDefault="00E24BFA" w:rsidP="00E24BFA">
      <w:pPr>
        <w:rPr>
          <w:rFonts w:ascii="Calibri" w:hAnsi="Calibri" w:cs="Calibri"/>
        </w:rPr>
      </w:pPr>
      <w:r w:rsidRPr="009C385D">
        <w:rPr>
          <w:rFonts w:ascii="Calibri" w:hAnsi="Calibri" w:cs="Calibri"/>
        </w:rPr>
        <w:t>Yet, the current wave of interest, driven by global efforts to reduce carbon emissions, is presented as potentially different from past attempts. In 2020, the Hydrogen Council forecasts 18% of Total Final Energy Consumption by 2050.</w:t>
      </w:r>
      <w:r w:rsidRPr="009C385D">
        <w:rPr>
          <w:rStyle w:val="FootnoteReference"/>
          <w:rFonts w:ascii="Calibri" w:hAnsi="Calibri" w:cs="Calibri"/>
        </w:rPr>
        <w:footnoteReference w:id="3"/>
      </w:r>
      <w:r w:rsidRPr="009C385D">
        <w:rPr>
          <w:rFonts w:ascii="Calibri" w:hAnsi="Calibri" w:cs="Calibri"/>
        </w:rPr>
        <w:t xml:space="preserve"> The IEA's Sustainable Development Scenario estimates 13% by 2070,</w:t>
      </w:r>
      <w:r w:rsidRPr="009C385D">
        <w:rPr>
          <w:rStyle w:val="FootnoteReference"/>
          <w:rFonts w:ascii="Calibri" w:hAnsi="Calibri" w:cs="Calibri"/>
        </w:rPr>
        <w:footnoteReference w:id="4"/>
      </w:r>
      <w:r w:rsidRPr="009C385D">
        <w:rPr>
          <w:rFonts w:ascii="Calibri" w:hAnsi="Calibri" w:cs="Calibri"/>
        </w:rPr>
        <w:t xml:space="preserve"> while the International Gas Union projects a range of 7-24% by 2050, depending on policy.</w:t>
      </w:r>
      <w:r w:rsidRPr="009C385D">
        <w:rPr>
          <w:rStyle w:val="FootnoteReference"/>
          <w:rFonts w:ascii="Calibri" w:hAnsi="Calibri" w:cs="Calibri"/>
        </w:rPr>
        <w:footnoteReference w:id="5"/>
      </w:r>
      <w:r w:rsidRPr="009C385D">
        <w:rPr>
          <w:rFonts w:ascii="Calibri" w:hAnsi="Calibri" w:cs="Calibri"/>
        </w:rPr>
        <w:t xml:space="preserve"> The Energy Transitions Commission envisions 15-20% by 2050.</w:t>
      </w:r>
      <w:r w:rsidRPr="009C385D">
        <w:rPr>
          <w:rStyle w:val="FootnoteReference"/>
          <w:rFonts w:ascii="Calibri" w:hAnsi="Calibri" w:cs="Calibri"/>
        </w:rPr>
        <w:footnoteReference w:id="6"/>
      </w:r>
      <w:r w:rsidRPr="009C385D">
        <w:rPr>
          <w:rFonts w:ascii="Calibri" w:hAnsi="Calibri" w:cs="Calibri"/>
        </w:rPr>
        <w:t xml:space="preserve"> By early 2020, 18 countries had published hydrogen roadmaps,</w:t>
      </w:r>
      <w:r w:rsidRPr="009C385D">
        <w:rPr>
          <w:rStyle w:val="FootnoteReference"/>
          <w:rFonts w:ascii="Calibri" w:hAnsi="Calibri" w:cs="Calibri"/>
        </w:rPr>
        <w:footnoteReference w:id="7"/>
      </w:r>
      <w:r w:rsidRPr="009C385D">
        <w:rPr>
          <w:rFonts w:ascii="Calibri" w:hAnsi="Calibri" w:cs="Calibri"/>
        </w:rPr>
        <w:t xml:space="preserve"> and several have included hydrogen </w:t>
      </w:r>
      <w:r w:rsidRPr="009C385D">
        <w:rPr>
          <w:rFonts w:ascii="Calibri" w:hAnsi="Calibri" w:cs="Calibri"/>
        </w:rPr>
        <w:lastRenderedPageBreak/>
        <w:t>investment in economic stimulus packages, aimed at supporting economic recovery from the COVID-19 global health pandemic.</w:t>
      </w:r>
      <w:r w:rsidRPr="009C385D">
        <w:rPr>
          <w:rStyle w:val="FootnoteReference"/>
          <w:rFonts w:ascii="Calibri" w:hAnsi="Calibri" w:cs="Calibri"/>
        </w:rPr>
        <w:footnoteReference w:id="8"/>
      </w:r>
      <w:r w:rsidRPr="009C385D">
        <w:rPr>
          <w:rFonts w:ascii="Calibri" w:hAnsi="Calibri" w:cs="Calibri"/>
        </w:rPr>
        <w:t xml:space="preserve"> </w:t>
      </w:r>
    </w:p>
    <w:p w14:paraId="6F686478" w14:textId="77777777" w:rsidR="00E24BFA" w:rsidRPr="009C385D" w:rsidRDefault="00E24BFA" w:rsidP="00E24BFA">
      <w:pPr>
        <w:rPr>
          <w:rFonts w:ascii="Calibri" w:hAnsi="Calibri" w:cs="Calibri"/>
        </w:rPr>
      </w:pPr>
      <w:r w:rsidRPr="009C385D">
        <w:rPr>
          <w:rFonts w:ascii="Calibri" w:hAnsi="Calibri" w:cs="Calibri"/>
        </w:rPr>
        <w:t>Unfortunately, acknowledging hydrogen's potential role in achieving ambitious climate goals isn't enough. A zero-emission hydrogen economy doesn't currently exist.</w:t>
      </w:r>
      <w:r w:rsidRPr="009C385D">
        <w:rPr>
          <w:rStyle w:val="FootnoteReference"/>
          <w:rFonts w:ascii="Calibri" w:hAnsi="Calibri" w:cs="Calibri"/>
        </w:rPr>
        <w:footnoteReference w:id="9"/>
      </w:r>
      <w:r w:rsidRPr="009C385D">
        <w:rPr>
          <w:rFonts w:ascii="Calibri" w:hAnsi="Calibri" w:cs="Calibri"/>
        </w:rPr>
        <w:t xml:space="preserve"> Current industrial hydrogen use relies heavily on fossil fuels, concentrated in oil refining and chemical production. For low-carbon or zero-carbon industrial adoption, new production methods are critical. These technologies either inherently avoid emissions or incorporate carbon capture. Only renewable-based hydrogen offers a compelling solution for economies striving for carbon neutrality. </w:t>
      </w:r>
    </w:p>
    <w:p w14:paraId="12E34B27" w14:textId="77777777" w:rsidR="00E24BFA" w:rsidRPr="009C385D" w:rsidRDefault="00E24BFA" w:rsidP="00E24BFA">
      <w:pPr>
        <w:rPr>
          <w:rFonts w:ascii="Calibri" w:hAnsi="Calibri" w:cs="Calibri"/>
        </w:rPr>
      </w:pPr>
      <w:r w:rsidRPr="009C385D">
        <w:rPr>
          <w:rFonts w:ascii="Calibri" w:hAnsi="Calibri" w:cs="Calibri"/>
        </w:rPr>
        <w:t xml:space="preserve">Falling costs for renewables and advancements in </w:t>
      </w:r>
      <w:proofErr w:type="spellStart"/>
      <w:r w:rsidRPr="009C385D">
        <w:rPr>
          <w:rFonts w:ascii="Calibri" w:hAnsi="Calibri" w:cs="Calibri"/>
        </w:rPr>
        <w:t>electrolyzer</w:t>
      </w:r>
      <w:proofErr w:type="spellEnd"/>
      <w:r w:rsidRPr="009C385D">
        <w:rPr>
          <w:rFonts w:ascii="Calibri" w:hAnsi="Calibri" w:cs="Calibri"/>
        </w:rPr>
        <w:t xml:space="preserve"> technology raise the possibility of commercially viable "green" hydrogen by 2030.</w:t>
      </w:r>
      <w:r w:rsidRPr="009C385D">
        <w:rPr>
          <w:rStyle w:val="FootnoteReference"/>
          <w:rFonts w:ascii="Calibri" w:hAnsi="Calibri" w:cs="Calibri"/>
        </w:rPr>
        <w:footnoteReference w:id="10"/>
      </w:r>
      <w:r w:rsidRPr="009C385D">
        <w:rPr>
          <w:rFonts w:ascii="Calibri" w:hAnsi="Calibri" w:cs="Calibri"/>
        </w:rPr>
        <w:t xml:space="preserve"> However, the lack of studies analysing the potential expansion pathways for green hydrogen from electrolysis makes this assumption questionable. In fact, applying green hydrogen as a technology in industrial settings is still in its early stages and requires rapid innovation and deployment to “unlock” its full potential for mitigating climate change.</w:t>
      </w:r>
      <w:r w:rsidRPr="009C385D">
        <w:rPr>
          <w:rStyle w:val="FootnoteReference"/>
          <w:rFonts w:ascii="Calibri" w:hAnsi="Calibri" w:cs="Calibri"/>
        </w:rPr>
        <w:footnoteReference w:id="11"/>
      </w:r>
      <w:r w:rsidRPr="009C385D">
        <w:rPr>
          <w:rFonts w:ascii="Calibri" w:eastAsia="Times New Roman" w:hAnsi="Calibri" w:cs="Calibri"/>
          <w:color w:val="000000"/>
          <w:lang w:eastAsia="fr-FR"/>
        </w:rPr>
        <w:t xml:space="preserve"> </w:t>
      </w:r>
      <w:r w:rsidRPr="009C385D">
        <w:rPr>
          <w:rFonts w:ascii="Calibri" w:hAnsi="Calibri" w:cs="Calibri"/>
        </w:rPr>
        <w:t>Even if electrolysis capacity expands as quickly as solar and wind power have, green hydrogen will likely contribute less than 1% of final energy consumption until 2030 in the European Union and 2035 globally. Even if growth is possible beyond 2030, substantial uncertainty exists. Projections suggest a range of 3.2-11.2% in the EU and 0.7-3.3% globally by 2040.</w:t>
      </w:r>
      <w:r w:rsidRPr="009C385D">
        <w:rPr>
          <w:rStyle w:val="FootnoteReference"/>
          <w:rFonts w:ascii="Calibri" w:hAnsi="Calibri" w:cs="Calibri"/>
        </w:rPr>
        <w:footnoteReference w:id="12"/>
      </w:r>
      <w:r w:rsidRPr="009C385D">
        <w:rPr>
          <w:rFonts w:ascii="Calibri" w:hAnsi="Calibri" w:cs="Calibri"/>
        </w:rPr>
        <w:t xml:space="preserve"> </w:t>
      </w:r>
    </w:p>
    <w:p w14:paraId="34C6DEE0" w14:textId="77777777" w:rsidR="00E24BFA" w:rsidRPr="009C385D" w:rsidRDefault="00E24BFA" w:rsidP="00E24BFA">
      <w:pPr>
        <w:rPr>
          <w:rFonts w:ascii="Calibri" w:hAnsi="Calibri" w:cs="Calibri"/>
        </w:rPr>
      </w:pPr>
      <w:bookmarkStart w:id="1" w:name="_Toc186630767"/>
      <w:r w:rsidRPr="009C385D">
        <w:rPr>
          <w:rFonts w:ascii="Calibri" w:hAnsi="Calibri" w:cs="Calibri"/>
        </w:rPr>
        <w:t>Thus, the challenges associated with achieving significant green hydrogen production levels extend beyond supply. This short-term scarcity and long-term uncertainty can hinder investment in hydrogen end uses and infrastructure, limiting its potential and jeopardizing climate targets. Moreover, establishing a large-scale hydrogen economy necessitates a shift to hydrogen carriers and the creation of a dedicated transportation network. The feasibility of producing the immense amounts of green hydrogen necessary remains largely speculative, raising significant questions about how and where this production will occur.</w:t>
      </w:r>
    </w:p>
    <w:bookmarkEnd w:id="1"/>
    <w:p w14:paraId="4EC80D47" w14:textId="77777777" w:rsidR="00FF13A6" w:rsidRPr="009C385D" w:rsidRDefault="00FF13A6">
      <w:pPr>
        <w:rPr>
          <w:rFonts w:ascii="Calibri" w:hAnsi="Calibri" w:cs="Calibri"/>
        </w:rPr>
      </w:pPr>
    </w:p>
    <w:sectPr w:rsidR="00FF13A6" w:rsidRPr="009C38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B17E" w14:textId="77777777" w:rsidR="00566C6E" w:rsidRDefault="00566C6E" w:rsidP="00E24BFA">
      <w:r>
        <w:separator/>
      </w:r>
    </w:p>
  </w:endnote>
  <w:endnote w:type="continuationSeparator" w:id="0">
    <w:p w14:paraId="540302B4" w14:textId="77777777" w:rsidR="00566C6E" w:rsidRDefault="00566C6E" w:rsidP="00E2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F2D0" w14:textId="77777777" w:rsidR="00566C6E" w:rsidRDefault="00566C6E" w:rsidP="00E24BFA">
      <w:r>
        <w:separator/>
      </w:r>
    </w:p>
  </w:footnote>
  <w:footnote w:type="continuationSeparator" w:id="0">
    <w:p w14:paraId="0374DAF7" w14:textId="77777777" w:rsidR="00566C6E" w:rsidRDefault="00566C6E" w:rsidP="00E24BFA">
      <w:r>
        <w:continuationSeparator/>
      </w:r>
    </w:p>
  </w:footnote>
  <w:footnote w:id="1">
    <w:p w14:paraId="3B2FA76C" w14:textId="77777777" w:rsidR="00E24BFA" w:rsidRPr="00E24BFA" w:rsidRDefault="00E24BFA" w:rsidP="00E24BFA">
      <w:pPr>
        <w:pStyle w:val="FootnoteText"/>
        <w:rPr>
          <w:lang w:val="fr-FR"/>
        </w:rPr>
      </w:pPr>
      <w:r w:rsidRPr="005F04B5">
        <w:rPr>
          <w:rStyle w:val="FootnoteReference"/>
        </w:rPr>
        <w:footnoteRef/>
      </w:r>
      <w:r w:rsidRPr="005F04B5">
        <w:t xml:space="preserve"> Brandon NP, </w:t>
      </w:r>
      <w:proofErr w:type="spellStart"/>
      <w:r w:rsidRPr="005F04B5">
        <w:t>Kurban</w:t>
      </w:r>
      <w:proofErr w:type="spellEnd"/>
      <w:r w:rsidRPr="005F04B5">
        <w:t xml:space="preserve"> Z. (2017) Clean energy and the hydrogen economy</w:t>
      </w:r>
      <w:r w:rsidRPr="005F04B5">
        <w:rPr>
          <w:i/>
          <w:iCs/>
        </w:rPr>
        <w:t xml:space="preserve">. </w:t>
      </w:r>
      <w:r w:rsidRPr="00E24BFA">
        <w:rPr>
          <w:i/>
          <w:iCs/>
          <w:lang w:val="fr-FR"/>
        </w:rPr>
        <w:t>Phil. Trans. R. Soc</w:t>
      </w:r>
      <w:r w:rsidRPr="00E24BFA">
        <w:rPr>
          <w:lang w:val="fr-FR"/>
        </w:rPr>
        <w:t>.</w:t>
      </w:r>
      <w:r w:rsidRPr="00E24BFA">
        <w:rPr>
          <w:i/>
          <w:iCs/>
          <w:lang w:val="fr-FR"/>
        </w:rPr>
        <w:t xml:space="preserve"> A</w:t>
      </w:r>
      <w:r w:rsidRPr="00E24BFA">
        <w:rPr>
          <w:lang w:val="fr-FR"/>
        </w:rPr>
        <w:t xml:space="preserve"> 375: 20160400. </w:t>
      </w:r>
    </w:p>
    <w:p w14:paraId="2E369AE6" w14:textId="77777777" w:rsidR="00E24BFA" w:rsidRPr="00E24BFA" w:rsidRDefault="00E24BFA" w:rsidP="00E24BFA">
      <w:pPr>
        <w:pStyle w:val="FootnoteText"/>
        <w:rPr>
          <w:lang w:val="fr-FR"/>
        </w:rPr>
      </w:pPr>
      <w:r w:rsidRPr="00E24BFA">
        <w:rPr>
          <w:lang w:val="fr-FR"/>
        </w:rPr>
        <w:t>http://dx.doi.org/10.1098/rsta.2016.0400</w:t>
      </w:r>
    </w:p>
  </w:footnote>
  <w:footnote w:id="2">
    <w:p w14:paraId="7FE13A06" w14:textId="77777777" w:rsidR="00E24BFA" w:rsidRDefault="00E24BFA" w:rsidP="00E24BFA">
      <w:pPr>
        <w:pStyle w:val="FootnoteText"/>
      </w:pPr>
      <w:r w:rsidRPr="005F04B5">
        <w:rPr>
          <w:rStyle w:val="FootnoteReference"/>
        </w:rPr>
        <w:footnoteRef/>
      </w:r>
      <w:r w:rsidRPr="005F04B5">
        <w:t xml:space="preserve"> Yap, J.; McLellan, B. A (2023) Historical Analysis of Hydrogen Economy Research, Development, and Expectations, 1972 to 2020. </w:t>
      </w:r>
      <w:r w:rsidRPr="005F04B5">
        <w:rPr>
          <w:i/>
          <w:iCs/>
        </w:rPr>
        <w:t xml:space="preserve">Environments </w:t>
      </w:r>
      <w:r w:rsidRPr="005F04B5">
        <w:t xml:space="preserve">10, no. 1: 11. </w:t>
      </w:r>
    </w:p>
    <w:p w14:paraId="7E7BFB87" w14:textId="77777777" w:rsidR="00E24BFA" w:rsidRPr="005F04B5" w:rsidRDefault="00E24BFA" w:rsidP="00E24BFA">
      <w:pPr>
        <w:pStyle w:val="FootnoteText"/>
      </w:pPr>
      <w:r w:rsidRPr="005F04B5">
        <w:t>https://doi.org/10.3390/ environments10010011</w:t>
      </w:r>
    </w:p>
  </w:footnote>
  <w:footnote w:id="3">
    <w:p w14:paraId="756D53EA" w14:textId="77777777" w:rsidR="00E24BFA" w:rsidRPr="005F04B5" w:rsidRDefault="00E24BFA" w:rsidP="00E24BFA">
      <w:pPr>
        <w:pStyle w:val="FootnoteText"/>
      </w:pPr>
      <w:r w:rsidRPr="005F04B5">
        <w:rPr>
          <w:rStyle w:val="FootnoteReference"/>
        </w:rPr>
        <w:footnoteRef/>
      </w:r>
      <w:r w:rsidRPr="005F04B5">
        <w:t xml:space="preserve"> </w:t>
      </w:r>
      <w:hyperlink r:id="rId1" w:history="1">
        <w:r w:rsidRPr="005F04B5">
          <w:rPr>
            <w:rStyle w:val="Hyperlink"/>
          </w:rPr>
          <w:t>Hydrogen Council, Path to Hydrogen Competitiveness: A Cost Perspective, Hydrogen Council, Belgium, 2020.</w:t>
        </w:r>
      </w:hyperlink>
    </w:p>
  </w:footnote>
  <w:footnote w:id="4">
    <w:p w14:paraId="7E392B2B" w14:textId="77777777" w:rsidR="00E24BFA" w:rsidRDefault="00E24BFA" w:rsidP="00E24BFA">
      <w:pPr>
        <w:pStyle w:val="FootnoteText"/>
      </w:pPr>
      <w:r w:rsidRPr="005F04B5">
        <w:rPr>
          <w:rStyle w:val="FootnoteReference"/>
        </w:rPr>
        <w:footnoteRef/>
      </w:r>
      <w:r w:rsidRPr="005F04B5">
        <w:t xml:space="preserve"> IEA (2020), Energy Technology Perspectives</w:t>
      </w:r>
      <w:r w:rsidRPr="005F04B5">
        <w:rPr>
          <w:i/>
          <w:iCs/>
        </w:rPr>
        <w:t xml:space="preserve"> </w:t>
      </w:r>
      <w:r w:rsidRPr="005F04B5">
        <w:t xml:space="preserve">2020, </w:t>
      </w:r>
      <w:r w:rsidRPr="005F04B5">
        <w:rPr>
          <w:i/>
          <w:iCs/>
        </w:rPr>
        <w:t>International Energy Agency</w:t>
      </w:r>
      <w:r>
        <w:t>. Paris</w:t>
      </w:r>
    </w:p>
    <w:p w14:paraId="723A17DD" w14:textId="77777777" w:rsidR="00E24BFA" w:rsidRPr="005F04B5" w:rsidRDefault="00E24BFA" w:rsidP="00E24BFA">
      <w:pPr>
        <w:pStyle w:val="FootnoteText"/>
      </w:pPr>
      <w:r w:rsidRPr="005F04B5">
        <w:t>https://doi.org/10.1787/d07136f0-en</w:t>
      </w:r>
    </w:p>
  </w:footnote>
  <w:footnote w:id="5">
    <w:p w14:paraId="39B2743E" w14:textId="77777777" w:rsidR="00E24BFA" w:rsidRPr="005F04B5" w:rsidRDefault="00E24BFA" w:rsidP="00E24BFA">
      <w:pPr>
        <w:pStyle w:val="FootnoteText"/>
      </w:pPr>
      <w:r w:rsidRPr="005F04B5">
        <w:rPr>
          <w:rStyle w:val="FootnoteReference"/>
        </w:rPr>
        <w:footnoteRef/>
      </w:r>
      <w:r w:rsidRPr="005F04B5">
        <w:t xml:space="preserve">  SNAM, IGU, </w:t>
      </w:r>
      <w:proofErr w:type="spellStart"/>
      <w:r w:rsidRPr="005F04B5">
        <w:t>BloombergNEF</w:t>
      </w:r>
      <w:proofErr w:type="spellEnd"/>
      <w:r w:rsidRPr="005F04B5">
        <w:t xml:space="preserve">, Global Gas Report 2020, </w:t>
      </w:r>
      <w:proofErr w:type="spellStart"/>
      <w:r w:rsidRPr="005F04B5">
        <w:t>BloombergNEF</w:t>
      </w:r>
      <w:proofErr w:type="spellEnd"/>
      <w:r w:rsidRPr="005F04B5">
        <w:t>, 2020.</w:t>
      </w:r>
    </w:p>
  </w:footnote>
  <w:footnote w:id="6">
    <w:p w14:paraId="0E224B37" w14:textId="77777777" w:rsidR="00E24BFA" w:rsidRPr="005F04B5" w:rsidRDefault="00E24BFA" w:rsidP="00E24BFA">
      <w:pPr>
        <w:pStyle w:val="FootnoteText"/>
      </w:pPr>
      <w:r w:rsidRPr="005F04B5">
        <w:rPr>
          <w:rStyle w:val="FootnoteReference"/>
        </w:rPr>
        <w:footnoteRef/>
      </w:r>
      <w:r w:rsidRPr="005F04B5">
        <w:t xml:space="preserve"> </w:t>
      </w:r>
      <w:hyperlink r:id="rId2" w:history="1">
        <w:r w:rsidRPr="005F04B5">
          <w:rPr>
            <w:rStyle w:val="Hyperlink"/>
          </w:rPr>
          <w:t>Energy Transitions Commission, Making Mission Possible – Delivering a Net-Zero Economy, Energy Transitions Commission, 2020</w:t>
        </w:r>
      </w:hyperlink>
    </w:p>
  </w:footnote>
  <w:footnote w:id="7">
    <w:p w14:paraId="54AC248B" w14:textId="77777777" w:rsidR="00E24BFA" w:rsidRPr="005F04B5" w:rsidRDefault="00E24BFA" w:rsidP="00E24BFA">
      <w:pPr>
        <w:pStyle w:val="FootnoteText"/>
      </w:pPr>
      <w:r w:rsidRPr="005F04B5">
        <w:rPr>
          <w:rStyle w:val="FootnoteReference"/>
        </w:rPr>
        <w:footnoteRef/>
      </w:r>
      <w:r w:rsidRPr="005F04B5">
        <w:t xml:space="preserve"> </w:t>
      </w:r>
      <w:hyperlink r:id="rId3" w:history="1">
        <w:r w:rsidRPr="005F04B5">
          <w:rPr>
            <w:rStyle w:val="Hyperlink"/>
          </w:rPr>
          <w:t>Hydrogen Council, Path to Hydrogen Competitiveness: A Cost Perspective, Hydrogen Council, Belgium, 2020.</w:t>
        </w:r>
      </w:hyperlink>
    </w:p>
  </w:footnote>
  <w:footnote w:id="8">
    <w:p w14:paraId="6B02BEBC" w14:textId="77777777" w:rsidR="00E24BFA" w:rsidRPr="00E24BFA" w:rsidRDefault="00E24BFA" w:rsidP="00E24BFA">
      <w:pPr>
        <w:pStyle w:val="FootnoteText"/>
        <w:rPr>
          <w:lang w:val="de-DE"/>
        </w:rPr>
      </w:pPr>
      <w:r w:rsidRPr="005F04B5">
        <w:rPr>
          <w:rStyle w:val="FootnoteReference"/>
        </w:rPr>
        <w:footnoteRef/>
      </w:r>
      <w:r w:rsidRPr="00E24BFA">
        <w:rPr>
          <w:lang w:val="de-DE"/>
        </w:rPr>
        <w:t xml:space="preserve"> Hydrogen Europe, Clean Hydrogen Monitor 2020, Hydrogen Europe, Brussels, 2020.</w:t>
      </w:r>
    </w:p>
  </w:footnote>
  <w:footnote w:id="9">
    <w:p w14:paraId="635C351F" w14:textId="77777777" w:rsidR="00E24BFA" w:rsidRPr="005F04B5" w:rsidRDefault="00E24BFA" w:rsidP="00E24BFA">
      <w:pPr>
        <w:pStyle w:val="FootnoteText"/>
      </w:pPr>
      <w:r w:rsidRPr="005F04B5">
        <w:rPr>
          <w:rStyle w:val="FootnoteReference"/>
        </w:rPr>
        <w:footnoteRef/>
      </w:r>
      <w:r w:rsidRPr="000426B2">
        <w:rPr>
          <w:lang w:val="fr-FR"/>
        </w:rPr>
        <w:t xml:space="preserve"> </w:t>
      </w:r>
      <w:proofErr w:type="spellStart"/>
      <w:r w:rsidRPr="000426B2">
        <w:rPr>
          <w:lang w:val="fr-FR"/>
        </w:rPr>
        <w:t>Terlouw</w:t>
      </w:r>
      <w:proofErr w:type="spellEnd"/>
      <w:r w:rsidRPr="000426B2">
        <w:rPr>
          <w:lang w:val="fr-FR"/>
        </w:rPr>
        <w:t>, T., Rosa, L., Bauer, C. </w:t>
      </w:r>
      <w:r w:rsidRPr="000426B2">
        <w:rPr>
          <w:i/>
          <w:iCs/>
          <w:lang w:val="fr-FR"/>
        </w:rPr>
        <w:t>et al.</w:t>
      </w:r>
      <w:r w:rsidRPr="000426B2">
        <w:rPr>
          <w:lang w:val="fr-FR"/>
        </w:rPr>
        <w:t> </w:t>
      </w:r>
      <w:r w:rsidRPr="005F04B5">
        <w:t>(2024) Future hydrogen economies imply environmental trade-offs and a supply-demand mismatch. </w:t>
      </w:r>
      <w:r w:rsidRPr="005F04B5">
        <w:rPr>
          <w:i/>
          <w:iCs/>
        </w:rPr>
        <w:t xml:space="preserve">Nat </w:t>
      </w:r>
      <w:proofErr w:type="spellStart"/>
      <w:r w:rsidRPr="005F04B5">
        <w:rPr>
          <w:i/>
          <w:iCs/>
        </w:rPr>
        <w:t>Commun</w:t>
      </w:r>
      <w:proofErr w:type="spellEnd"/>
      <w:r w:rsidRPr="005F04B5">
        <w:t> </w:t>
      </w:r>
      <w:r w:rsidRPr="005F04B5">
        <w:rPr>
          <w:b/>
          <w:bCs/>
        </w:rPr>
        <w:t>15</w:t>
      </w:r>
      <w:r w:rsidRPr="005F04B5">
        <w:t>, 7043. https://doi.org/10.1038/s41467-024-51251-7</w:t>
      </w:r>
    </w:p>
  </w:footnote>
  <w:footnote w:id="10">
    <w:p w14:paraId="636EC5CB" w14:textId="77777777" w:rsidR="00E24BFA" w:rsidRPr="005F04B5" w:rsidRDefault="00E24BFA" w:rsidP="00E24BFA">
      <w:pPr>
        <w:pStyle w:val="FootnoteText"/>
      </w:pPr>
      <w:r w:rsidRPr="005F04B5">
        <w:rPr>
          <w:rStyle w:val="FootnoteReference"/>
        </w:rPr>
        <w:footnoteRef/>
      </w:r>
      <w:r w:rsidRPr="005F04B5">
        <w:t xml:space="preserve"> Griffiths, S.; </w:t>
      </w:r>
      <w:proofErr w:type="spellStart"/>
      <w:r w:rsidRPr="005F04B5">
        <w:t>Sovacool</w:t>
      </w:r>
      <w:proofErr w:type="spellEnd"/>
      <w:r w:rsidRPr="005F04B5">
        <w:t xml:space="preserve">, B.K.; Kim, J.; </w:t>
      </w:r>
      <w:proofErr w:type="spellStart"/>
      <w:r w:rsidRPr="005F04B5">
        <w:t>Bazilian</w:t>
      </w:r>
      <w:proofErr w:type="spellEnd"/>
      <w:r w:rsidRPr="005F04B5">
        <w:t xml:space="preserve">, M.; </w:t>
      </w:r>
      <w:proofErr w:type="spellStart"/>
      <w:r w:rsidRPr="005F04B5">
        <w:t>Uratani</w:t>
      </w:r>
      <w:proofErr w:type="spellEnd"/>
      <w:r w:rsidRPr="005F04B5">
        <w:t xml:space="preserve">, J.M. (2021) Industrial decarbonization via hydrogen: A critical and systematic review of developments, socio-technical systems and policy options. </w:t>
      </w:r>
      <w:r w:rsidRPr="005F04B5">
        <w:rPr>
          <w:i/>
          <w:iCs/>
        </w:rPr>
        <w:t>Energy Res. Soc. Sci.</w:t>
      </w:r>
      <w:r w:rsidRPr="005F04B5">
        <w:t>, 80, 102208. https://doi.org/10.1016/j.erss.2021.102208</w:t>
      </w:r>
    </w:p>
  </w:footnote>
  <w:footnote w:id="11">
    <w:p w14:paraId="2BA6ED4A" w14:textId="77777777" w:rsidR="00E24BFA" w:rsidRPr="005F04B5" w:rsidRDefault="00E24BFA" w:rsidP="00E24BFA">
      <w:pPr>
        <w:pStyle w:val="FootnoteText"/>
        <w:rPr>
          <w:b/>
          <w:bCs/>
        </w:rPr>
      </w:pPr>
      <w:r w:rsidRPr="005F04B5">
        <w:rPr>
          <w:rStyle w:val="FootnoteReference"/>
        </w:rPr>
        <w:footnoteRef/>
      </w:r>
      <w:r w:rsidRPr="005F04B5">
        <w:t xml:space="preserve"> IRENA (2020), Green Hydrogen Cost Reduction: Scaling up Electrolysers to Meet the 1.5⁰C Climate Goal, International Renewable Energy Agency, Abu Dhabi.</w:t>
      </w:r>
    </w:p>
  </w:footnote>
  <w:footnote w:id="12">
    <w:p w14:paraId="3DEA02FB" w14:textId="77777777" w:rsidR="00E24BFA" w:rsidRPr="00E24BFA" w:rsidRDefault="00E24BFA" w:rsidP="00E24BFA">
      <w:pPr>
        <w:pStyle w:val="FootnoteText"/>
        <w:rPr>
          <w:lang w:val="en-US"/>
        </w:rPr>
      </w:pPr>
      <w:r w:rsidRPr="005F04B5">
        <w:rPr>
          <w:rStyle w:val="FootnoteReference"/>
        </w:rPr>
        <w:footnoteRef/>
      </w:r>
      <w:r w:rsidRPr="00E24BFA">
        <w:rPr>
          <w:lang w:val="en-US"/>
        </w:rPr>
        <w:t xml:space="preserve"> Odenweller, A., Ueckerdt, F., Nemet, G.F. </w:t>
      </w:r>
      <w:r w:rsidRPr="00E24BFA">
        <w:rPr>
          <w:i/>
          <w:iCs/>
          <w:lang w:val="en-US"/>
        </w:rPr>
        <w:t>et al.</w:t>
      </w:r>
      <w:r w:rsidRPr="00E24BFA">
        <w:rPr>
          <w:lang w:val="en-US"/>
        </w:rPr>
        <w:t> </w:t>
      </w:r>
      <w:r w:rsidRPr="005F04B5">
        <w:t>(2022) Probabilistic feasibility space of scaling up green hydrogen supply. </w:t>
      </w:r>
      <w:r w:rsidRPr="00E24BFA">
        <w:rPr>
          <w:i/>
          <w:iCs/>
          <w:lang w:val="en-US"/>
        </w:rPr>
        <w:t>Nat Energy</w:t>
      </w:r>
      <w:r w:rsidRPr="00E24BFA">
        <w:rPr>
          <w:lang w:val="en-US"/>
        </w:rPr>
        <w:t> </w:t>
      </w:r>
      <w:r w:rsidRPr="00E24BFA">
        <w:rPr>
          <w:b/>
          <w:bCs/>
          <w:lang w:val="en-US"/>
        </w:rPr>
        <w:t>7</w:t>
      </w:r>
      <w:r w:rsidRPr="00E24BFA">
        <w:rPr>
          <w:lang w:val="en-US"/>
        </w:rPr>
        <w:t>, 854–865. https://doi.org/10.1038/s41560-022-01097-4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FA"/>
    <w:rsid w:val="00386C0C"/>
    <w:rsid w:val="00566C6E"/>
    <w:rsid w:val="006D62A4"/>
    <w:rsid w:val="00753A80"/>
    <w:rsid w:val="009C385D"/>
    <w:rsid w:val="00C2242F"/>
    <w:rsid w:val="00E24BFA"/>
    <w:rsid w:val="00E94C97"/>
    <w:rsid w:val="00F2012D"/>
    <w:rsid w:val="00FF1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49C2"/>
  <w15:chartTrackingRefBased/>
  <w15:docId w15:val="{91CD7340-3EB7-4CD6-B8D3-70A6C07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FA"/>
    <w:pPr>
      <w:spacing w:after="0" w:line="240" w:lineRule="auto"/>
      <w:jc w:val="both"/>
    </w:pPr>
    <w:rPr>
      <w:rFonts w:eastAsiaTheme="minorHAnsi"/>
      <w:kern w:val="0"/>
      <w:sz w:val="24"/>
      <w:szCs w:val="24"/>
      <w:lang w:val="en-GB" w:eastAsia="en-US"/>
      <w14:ligatures w14:val="none"/>
    </w:rPr>
  </w:style>
  <w:style w:type="paragraph" w:styleId="Heading1">
    <w:name w:val="heading 1"/>
    <w:basedOn w:val="Normal"/>
    <w:next w:val="Normal"/>
    <w:link w:val="Heading1Char"/>
    <w:uiPriority w:val="9"/>
    <w:qFormat/>
    <w:rsid w:val="00E24BFA"/>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E24BFA"/>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E24BFA"/>
    <w:pPr>
      <w:keepNext/>
      <w:keepLines/>
      <w:spacing w:before="160" w:after="80" w:line="259" w:lineRule="auto"/>
      <w:jc w:val="left"/>
      <w:outlineLvl w:val="2"/>
    </w:pPr>
    <w:rPr>
      <w:rFonts w:eastAsiaTheme="majorEastAsia" w:cstheme="majorBidi"/>
      <w:color w:val="2E74B5"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E24BFA"/>
    <w:pPr>
      <w:keepNext/>
      <w:keepLines/>
      <w:spacing w:before="80" w:after="40" w:line="259" w:lineRule="auto"/>
      <w:jc w:val="left"/>
      <w:outlineLvl w:val="3"/>
    </w:pPr>
    <w:rPr>
      <w:rFonts w:eastAsiaTheme="majorEastAsia" w:cstheme="majorBidi"/>
      <w:i/>
      <w:iCs/>
      <w:color w:val="2E74B5" w:themeColor="accent1" w:themeShade="BF"/>
      <w:kern w:val="2"/>
      <w:sz w:val="22"/>
      <w:szCs w:val="22"/>
      <w:lang w:val="en-US" w:eastAsia="zh-CN"/>
      <w14:ligatures w14:val="standardContextual"/>
    </w:rPr>
  </w:style>
  <w:style w:type="paragraph" w:styleId="Heading5">
    <w:name w:val="heading 5"/>
    <w:basedOn w:val="Normal"/>
    <w:next w:val="Normal"/>
    <w:link w:val="Heading5Char"/>
    <w:uiPriority w:val="9"/>
    <w:semiHidden/>
    <w:unhideWhenUsed/>
    <w:qFormat/>
    <w:rsid w:val="00E24BFA"/>
    <w:pPr>
      <w:keepNext/>
      <w:keepLines/>
      <w:spacing w:before="80" w:after="40" w:line="259" w:lineRule="auto"/>
      <w:jc w:val="left"/>
      <w:outlineLvl w:val="4"/>
    </w:pPr>
    <w:rPr>
      <w:rFonts w:eastAsiaTheme="majorEastAsia" w:cstheme="majorBidi"/>
      <w:color w:val="2E74B5" w:themeColor="accent1" w:themeShade="BF"/>
      <w:kern w:val="2"/>
      <w:sz w:val="22"/>
      <w:szCs w:val="22"/>
      <w:lang w:val="en-US" w:eastAsia="zh-CN"/>
      <w14:ligatures w14:val="standardContextual"/>
    </w:rPr>
  </w:style>
  <w:style w:type="paragraph" w:styleId="Heading6">
    <w:name w:val="heading 6"/>
    <w:basedOn w:val="Normal"/>
    <w:next w:val="Normal"/>
    <w:link w:val="Heading6Char"/>
    <w:uiPriority w:val="9"/>
    <w:semiHidden/>
    <w:unhideWhenUsed/>
    <w:qFormat/>
    <w:rsid w:val="00E24BFA"/>
    <w:pPr>
      <w:keepNext/>
      <w:keepLines/>
      <w:spacing w:before="40" w:line="259" w:lineRule="auto"/>
      <w:jc w:val="left"/>
      <w:outlineLvl w:val="5"/>
    </w:pPr>
    <w:rPr>
      <w:rFonts w:eastAsiaTheme="majorEastAsia" w:cstheme="majorBidi"/>
      <w:i/>
      <w:iCs/>
      <w:color w:val="595959" w:themeColor="text1" w:themeTint="A6"/>
      <w:kern w:val="2"/>
      <w:sz w:val="22"/>
      <w:szCs w:val="22"/>
      <w:lang w:val="en-US" w:eastAsia="zh-CN"/>
      <w14:ligatures w14:val="standardContextual"/>
    </w:rPr>
  </w:style>
  <w:style w:type="paragraph" w:styleId="Heading7">
    <w:name w:val="heading 7"/>
    <w:basedOn w:val="Normal"/>
    <w:next w:val="Normal"/>
    <w:link w:val="Heading7Char"/>
    <w:uiPriority w:val="9"/>
    <w:semiHidden/>
    <w:unhideWhenUsed/>
    <w:qFormat/>
    <w:rsid w:val="00E24BFA"/>
    <w:pPr>
      <w:keepNext/>
      <w:keepLines/>
      <w:spacing w:before="40" w:line="259" w:lineRule="auto"/>
      <w:jc w:val="left"/>
      <w:outlineLvl w:val="6"/>
    </w:pPr>
    <w:rPr>
      <w:rFonts w:eastAsiaTheme="majorEastAsia" w:cstheme="majorBidi"/>
      <w:color w:val="595959" w:themeColor="text1" w:themeTint="A6"/>
      <w:kern w:val="2"/>
      <w:sz w:val="22"/>
      <w:szCs w:val="22"/>
      <w:lang w:val="en-US" w:eastAsia="zh-CN"/>
      <w14:ligatures w14:val="standardContextual"/>
    </w:rPr>
  </w:style>
  <w:style w:type="paragraph" w:styleId="Heading8">
    <w:name w:val="heading 8"/>
    <w:basedOn w:val="Normal"/>
    <w:next w:val="Normal"/>
    <w:link w:val="Heading8Char"/>
    <w:uiPriority w:val="9"/>
    <w:semiHidden/>
    <w:unhideWhenUsed/>
    <w:qFormat/>
    <w:rsid w:val="00E24BFA"/>
    <w:pPr>
      <w:keepNext/>
      <w:keepLines/>
      <w:spacing w:line="259" w:lineRule="auto"/>
      <w:jc w:val="left"/>
      <w:outlineLvl w:val="7"/>
    </w:pPr>
    <w:rPr>
      <w:rFonts w:eastAsiaTheme="majorEastAsia" w:cstheme="majorBidi"/>
      <w:i/>
      <w:iCs/>
      <w:color w:val="272727" w:themeColor="text1" w:themeTint="D8"/>
      <w:kern w:val="2"/>
      <w:sz w:val="22"/>
      <w:szCs w:val="22"/>
      <w:lang w:val="en-US" w:eastAsia="zh-CN"/>
      <w14:ligatures w14:val="standardContextual"/>
    </w:rPr>
  </w:style>
  <w:style w:type="paragraph" w:styleId="Heading9">
    <w:name w:val="heading 9"/>
    <w:basedOn w:val="Normal"/>
    <w:next w:val="Normal"/>
    <w:link w:val="Heading9Char"/>
    <w:uiPriority w:val="9"/>
    <w:semiHidden/>
    <w:unhideWhenUsed/>
    <w:qFormat/>
    <w:rsid w:val="00E24BFA"/>
    <w:pPr>
      <w:keepNext/>
      <w:keepLines/>
      <w:spacing w:line="259" w:lineRule="auto"/>
      <w:jc w:val="left"/>
      <w:outlineLvl w:val="8"/>
    </w:pPr>
    <w:rPr>
      <w:rFonts w:eastAsiaTheme="majorEastAsia" w:cstheme="majorBidi"/>
      <w:color w:val="272727" w:themeColor="text1" w:themeTint="D8"/>
      <w:kern w:val="2"/>
      <w:sz w:val="22"/>
      <w:szCs w:val="2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24B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24B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24B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24B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2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BFA"/>
    <w:rPr>
      <w:rFonts w:eastAsiaTheme="majorEastAsia" w:cstheme="majorBidi"/>
      <w:color w:val="272727" w:themeColor="text1" w:themeTint="D8"/>
    </w:rPr>
  </w:style>
  <w:style w:type="paragraph" w:styleId="Title">
    <w:name w:val="Title"/>
    <w:basedOn w:val="Normal"/>
    <w:next w:val="Normal"/>
    <w:link w:val="TitleChar"/>
    <w:uiPriority w:val="10"/>
    <w:qFormat/>
    <w:rsid w:val="00E24BFA"/>
    <w:pPr>
      <w:spacing w:after="80"/>
      <w:contextualSpacing/>
      <w:jc w:val="left"/>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E2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BFA"/>
    <w:pPr>
      <w:numPr>
        <w:ilvl w:val="1"/>
      </w:numPr>
      <w:spacing w:after="160" w:line="259" w:lineRule="auto"/>
      <w:jc w:val="left"/>
    </w:pPr>
    <w:rPr>
      <w:rFonts w:eastAsiaTheme="majorEastAsia"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E2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BFA"/>
    <w:pPr>
      <w:spacing w:before="160" w:after="160" w:line="259" w:lineRule="auto"/>
      <w:jc w:val="center"/>
    </w:pPr>
    <w:rPr>
      <w:rFonts w:eastAsiaTheme="minorEastAsia"/>
      <w:i/>
      <w:iCs/>
      <w:color w:val="404040" w:themeColor="text1" w:themeTint="BF"/>
      <w:kern w:val="2"/>
      <w:sz w:val="22"/>
      <w:szCs w:val="22"/>
      <w:lang w:val="en-US" w:eastAsia="zh-CN"/>
      <w14:ligatures w14:val="standardContextual"/>
    </w:rPr>
  </w:style>
  <w:style w:type="character" w:customStyle="1" w:styleId="QuoteChar">
    <w:name w:val="Quote Char"/>
    <w:basedOn w:val="DefaultParagraphFont"/>
    <w:link w:val="Quote"/>
    <w:uiPriority w:val="29"/>
    <w:rsid w:val="00E24BFA"/>
    <w:rPr>
      <w:i/>
      <w:iCs/>
      <w:color w:val="404040" w:themeColor="text1" w:themeTint="BF"/>
    </w:rPr>
  </w:style>
  <w:style w:type="paragraph" w:styleId="ListParagraph">
    <w:name w:val="List Paragraph"/>
    <w:basedOn w:val="Normal"/>
    <w:uiPriority w:val="34"/>
    <w:qFormat/>
    <w:rsid w:val="00E24BFA"/>
    <w:pPr>
      <w:spacing w:after="160" w:line="259" w:lineRule="auto"/>
      <w:ind w:left="720"/>
      <w:contextualSpacing/>
      <w:jc w:val="left"/>
    </w:pPr>
    <w:rPr>
      <w:rFonts w:eastAsiaTheme="minorEastAsia"/>
      <w:kern w:val="2"/>
      <w:sz w:val="22"/>
      <w:szCs w:val="22"/>
      <w:lang w:val="en-US" w:eastAsia="zh-CN"/>
      <w14:ligatures w14:val="standardContextual"/>
    </w:rPr>
  </w:style>
  <w:style w:type="character" w:styleId="IntenseEmphasis">
    <w:name w:val="Intense Emphasis"/>
    <w:basedOn w:val="DefaultParagraphFont"/>
    <w:uiPriority w:val="21"/>
    <w:qFormat/>
    <w:rsid w:val="00E24BFA"/>
    <w:rPr>
      <w:i/>
      <w:iCs/>
      <w:color w:val="2E74B5" w:themeColor="accent1" w:themeShade="BF"/>
    </w:rPr>
  </w:style>
  <w:style w:type="paragraph" w:styleId="IntenseQuote">
    <w:name w:val="Intense Quote"/>
    <w:basedOn w:val="Normal"/>
    <w:next w:val="Normal"/>
    <w:link w:val="IntenseQuoteChar"/>
    <w:uiPriority w:val="30"/>
    <w:qFormat/>
    <w:rsid w:val="00E24BF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EastAsia"/>
      <w:i/>
      <w:iCs/>
      <w:color w:val="2E74B5" w:themeColor="accent1" w:themeShade="BF"/>
      <w:kern w:val="2"/>
      <w:sz w:val="22"/>
      <w:szCs w:val="22"/>
      <w:lang w:val="en-US" w:eastAsia="zh-CN"/>
      <w14:ligatures w14:val="standardContextual"/>
    </w:rPr>
  </w:style>
  <w:style w:type="character" w:customStyle="1" w:styleId="IntenseQuoteChar">
    <w:name w:val="Intense Quote Char"/>
    <w:basedOn w:val="DefaultParagraphFont"/>
    <w:link w:val="IntenseQuote"/>
    <w:uiPriority w:val="30"/>
    <w:rsid w:val="00E24BFA"/>
    <w:rPr>
      <w:i/>
      <w:iCs/>
      <w:color w:val="2E74B5" w:themeColor="accent1" w:themeShade="BF"/>
    </w:rPr>
  </w:style>
  <w:style w:type="character" w:styleId="IntenseReference">
    <w:name w:val="Intense Reference"/>
    <w:basedOn w:val="DefaultParagraphFont"/>
    <w:uiPriority w:val="32"/>
    <w:qFormat/>
    <w:rsid w:val="00E24BFA"/>
    <w:rPr>
      <w:b/>
      <w:bCs/>
      <w:smallCaps/>
      <w:color w:val="2E74B5" w:themeColor="accent1" w:themeShade="BF"/>
      <w:spacing w:val="5"/>
    </w:rPr>
  </w:style>
  <w:style w:type="character" w:styleId="Hyperlink">
    <w:name w:val="Hyperlink"/>
    <w:basedOn w:val="DefaultParagraphFont"/>
    <w:uiPriority w:val="99"/>
    <w:unhideWhenUsed/>
    <w:rsid w:val="00E24BFA"/>
    <w:rPr>
      <w:color w:val="0563C1" w:themeColor="hyperlink"/>
      <w:u w:val="single"/>
    </w:rPr>
  </w:style>
  <w:style w:type="paragraph" w:styleId="FootnoteText">
    <w:name w:val="footnote text"/>
    <w:basedOn w:val="Normal"/>
    <w:link w:val="FootnoteTextChar"/>
    <w:uiPriority w:val="99"/>
    <w:unhideWhenUsed/>
    <w:rsid w:val="00E24BFA"/>
    <w:rPr>
      <w:sz w:val="20"/>
      <w:szCs w:val="20"/>
    </w:rPr>
  </w:style>
  <w:style w:type="character" w:customStyle="1" w:styleId="FootnoteTextChar">
    <w:name w:val="Footnote Text Char"/>
    <w:basedOn w:val="DefaultParagraphFont"/>
    <w:link w:val="FootnoteText"/>
    <w:uiPriority w:val="99"/>
    <w:rsid w:val="00E24BFA"/>
    <w:rPr>
      <w:rFonts w:eastAsiaTheme="minorHAnsi"/>
      <w:kern w:val="0"/>
      <w:sz w:val="20"/>
      <w:szCs w:val="20"/>
      <w:lang w:val="en-GB" w:eastAsia="en-US"/>
      <w14:ligatures w14:val="none"/>
    </w:rPr>
  </w:style>
  <w:style w:type="character" w:styleId="FootnoteReference">
    <w:name w:val="footnote reference"/>
    <w:basedOn w:val="DefaultParagraphFont"/>
    <w:uiPriority w:val="99"/>
    <w:semiHidden/>
    <w:unhideWhenUsed/>
    <w:rsid w:val="00E24BFA"/>
    <w:rPr>
      <w:vertAlign w:val="superscript"/>
    </w:rPr>
  </w:style>
  <w:style w:type="paragraph" w:styleId="Header">
    <w:name w:val="header"/>
    <w:basedOn w:val="Normal"/>
    <w:link w:val="HeaderChar"/>
    <w:uiPriority w:val="99"/>
    <w:unhideWhenUsed/>
    <w:rsid w:val="00C2242F"/>
    <w:pPr>
      <w:tabs>
        <w:tab w:val="center" w:pos="4680"/>
        <w:tab w:val="right" w:pos="9360"/>
      </w:tabs>
    </w:pPr>
  </w:style>
  <w:style w:type="character" w:customStyle="1" w:styleId="HeaderChar">
    <w:name w:val="Header Char"/>
    <w:basedOn w:val="DefaultParagraphFont"/>
    <w:link w:val="Header"/>
    <w:uiPriority w:val="99"/>
    <w:rsid w:val="00C2242F"/>
    <w:rPr>
      <w:rFonts w:eastAsiaTheme="minorHAnsi"/>
      <w:kern w:val="0"/>
      <w:sz w:val="24"/>
      <w:szCs w:val="24"/>
      <w:lang w:val="en-GB" w:eastAsia="en-US"/>
      <w14:ligatures w14:val="none"/>
    </w:rPr>
  </w:style>
  <w:style w:type="paragraph" w:styleId="Footer">
    <w:name w:val="footer"/>
    <w:basedOn w:val="Normal"/>
    <w:link w:val="FooterChar"/>
    <w:uiPriority w:val="99"/>
    <w:unhideWhenUsed/>
    <w:rsid w:val="00C2242F"/>
    <w:pPr>
      <w:tabs>
        <w:tab w:val="center" w:pos="4680"/>
        <w:tab w:val="right" w:pos="9360"/>
      </w:tabs>
    </w:pPr>
  </w:style>
  <w:style w:type="character" w:customStyle="1" w:styleId="FooterChar">
    <w:name w:val="Footer Char"/>
    <w:basedOn w:val="DefaultParagraphFont"/>
    <w:link w:val="Footer"/>
    <w:uiPriority w:val="99"/>
    <w:rsid w:val="00C2242F"/>
    <w:rPr>
      <w:rFonts w:eastAsiaTheme="minorHAnsi"/>
      <w:kern w:val="0"/>
      <w:sz w:val="24"/>
      <w:szCs w:val="24"/>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2knowledgecentre.com/content/policypaper1202?crawler=redirect&amp;mimetype=application/pdf" TargetMode="External"/><Relationship Id="rId2" Type="http://schemas.openxmlformats.org/officeDocument/2006/relationships/hyperlink" Target="https://www.energy-transitions.org/publications/making-mission-possible/" TargetMode="External"/><Relationship Id="rId1" Type="http://schemas.openxmlformats.org/officeDocument/2006/relationships/hyperlink" Target="https://www.h2knowledgecentre.com/content/policypaper1202?crawler=redirect&amp;mimetype=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3882</Characters>
  <Application>Microsoft Office Word</Application>
  <DocSecurity>0</DocSecurity>
  <Lines>32</Lines>
  <Paragraphs>9</Paragraphs>
  <ScaleCrop>false</ScaleCrop>
  <Company>RLS</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Louati, Imen</dc:creator>
  <cp:keywords/>
  <dc:description/>
  <cp:lastModifiedBy>Ben Zina, Rim</cp:lastModifiedBy>
  <cp:revision>3</cp:revision>
  <dcterms:created xsi:type="dcterms:W3CDTF">2025-11-17T14:32:00Z</dcterms:created>
  <dcterms:modified xsi:type="dcterms:W3CDTF">2025-11-18T15:18:00Z</dcterms:modified>
</cp:coreProperties>
</file>