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945E" w14:textId="4F5A5E99" w:rsidR="009F4B02" w:rsidRPr="00101839" w:rsidRDefault="009F4B02" w:rsidP="009F4B02">
      <w:pPr>
        <w:bidi/>
        <w:spacing w:before="100" w:beforeAutospacing="1" w:after="100" w:afterAutospacing="1" w:line="240" w:lineRule="auto"/>
        <w:jc w:val="center"/>
        <w:rPr>
          <w:rFonts w:ascii="Calibri" w:eastAsia="Times New Roman" w:hAnsi="Calibri" w:cs="Calibri"/>
          <w:b/>
          <w:bCs/>
          <w:sz w:val="36"/>
          <w:szCs w:val="36"/>
          <w:u w:val="single"/>
          <w:lang w:eastAsia="fr-FR" w:bidi="ar-MA"/>
        </w:rPr>
      </w:pPr>
      <w:r w:rsidRPr="00101839">
        <w:rPr>
          <w:rFonts w:ascii="Calibri" w:eastAsia="Times New Roman" w:hAnsi="Calibri" w:cs="Calibri"/>
          <w:b/>
          <w:bCs/>
          <w:sz w:val="36"/>
          <w:szCs w:val="36"/>
          <w:u w:val="single"/>
          <w:lang w:eastAsia="fr-FR" w:bidi="ar-MA"/>
        </w:rPr>
        <w:t>Annex A</w:t>
      </w:r>
    </w:p>
    <w:p w14:paraId="5B9D6011" w14:textId="77777777" w:rsidR="009F4B02" w:rsidRDefault="009F4B02" w:rsidP="009F4B02">
      <w:pPr>
        <w:bidi/>
        <w:spacing w:before="100" w:beforeAutospacing="1" w:after="100" w:afterAutospacing="1" w:line="240" w:lineRule="auto"/>
        <w:jc w:val="both"/>
        <w:rPr>
          <w:rFonts w:eastAsia="Times New Roman" w:cstheme="minorHAnsi"/>
          <w:sz w:val="24"/>
          <w:szCs w:val="24"/>
          <w:lang w:eastAsia="fr-FR" w:bidi="ar-MA"/>
        </w:rPr>
      </w:pPr>
    </w:p>
    <w:p w14:paraId="3273FA86" w14:textId="1853A2E8" w:rsidR="000C517B" w:rsidRPr="0062194B" w:rsidRDefault="000C517B" w:rsidP="009F4B02">
      <w:pPr>
        <w:bidi/>
        <w:spacing w:before="100" w:beforeAutospacing="1" w:after="100" w:afterAutospacing="1" w:line="240" w:lineRule="auto"/>
        <w:jc w:val="both"/>
        <w:rPr>
          <w:rFonts w:eastAsia="Times New Roman" w:cstheme="minorHAnsi"/>
          <w:b/>
          <w:bCs/>
          <w:sz w:val="24"/>
          <w:szCs w:val="24"/>
          <w:rtl/>
          <w:lang w:eastAsia="fr-FR" w:bidi="ar-MA"/>
        </w:rPr>
      </w:pPr>
      <w:r w:rsidRPr="0062194B">
        <w:rPr>
          <w:rFonts w:eastAsia="Times New Roman" w:cstheme="minorHAnsi"/>
          <w:b/>
          <w:bCs/>
          <w:sz w:val="24"/>
          <w:szCs w:val="24"/>
          <w:rtl/>
          <w:lang w:eastAsia="fr-FR" w:bidi="ar-MA"/>
        </w:rPr>
        <w:t>ظهور الرأسمالية الخضراء في السياق العالمي</w:t>
      </w:r>
    </w:p>
    <w:p w14:paraId="265EB0DC"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ظهر مفهوم الرأسمالية الخضراء في سياق عالمي مُعقد، تَمَخَّض عن تزايد التحديات البيئية والاقتصادية التي واجهها العالم في العقود الأخيرة. ويعود الأمر أكثر للتصاعد الحاد في الأزمات البيئية، إذ شهد العالم تفاقمًا في الكوارث الطبيعية مثل موجات الحر والفيضانات وحرائق الغابات، والتي رُبطت بشكل واضح بتغير المناخ الناجم عن الأنشطة الصناعية المكثفة. أدى هذا إلى ضغوط دولية لتبني حلول عاجلة، ما دفع الحكومات والقطاع الخاص إلى البحث عن آليات لدمج الاستدامة في النموذج الاقتصادي الرأسمالي التقليدي، مثل "تعويضات الكربون"</w:t>
      </w:r>
      <w:r w:rsidRPr="000C517B">
        <w:rPr>
          <w:rStyle w:val="FootnoteReference"/>
          <w:rFonts w:eastAsia="Times New Roman" w:cstheme="minorHAnsi"/>
          <w:sz w:val="24"/>
          <w:szCs w:val="24"/>
          <w:rtl/>
          <w:lang w:eastAsia="fr-FR" w:bidi="ar-MA"/>
        </w:rPr>
        <w:footnoteReference w:id="1"/>
      </w:r>
      <w:r w:rsidRPr="000C517B">
        <w:rPr>
          <w:rFonts w:eastAsia="Times New Roman" w:cstheme="minorHAnsi"/>
          <w:sz w:val="24"/>
          <w:szCs w:val="24"/>
          <w:rtl/>
          <w:lang w:eastAsia="fr-FR" w:bidi="ar-MA"/>
        </w:rPr>
        <w:t xml:space="preserve"> و"الاستثمارات الخضراء"</w:t>
      </w:r>
      <w:r w:rsidRPr="000C517B">
        <w:rPr>
          <w:rStyle w:val="FootnoteReference"/>
          <w:rFonts w:eastAsia="Times New Roman" w:cstheme="minorHAnsi"/>
          <w:sz w:val="24"/>
          <w:szCs w:val="24"/>
          <w:rtl/>
          <w:lang w:eastAsia="fr-FR" w:bidi="ar-MA"/>
        </w:rPr>
        <w:footnoteReference w:id="2"/>
      </w:r>
      <w:r w:rsidRPr="000C517B">
        <w:rPr>
          <w:rFonts w:eastAsia="Times New Roman" w:cstheme="minorHAnsi"/>
          <w:sz w:val="24"/>
          <w:szCs w:val="24"/>
          <w:rtl/>
          <w:lang w:eastAsia="fr-FR" w:bidi="ar-MA"/>
        </w:rPr>
        <w:t>. إلا أن هذه الإجراءات ركزت على الربح بدلاً من معالجة الأسباب الجذرية للأزمة البيئية</w:t>
      </w:r>
      <w:r w:rsidRPr="000C517B">
        <w:rPr>
          <w:rFonts w:eastAsia="Times New Roman" w:cstheme="minorHAnsi"/>
          <w:sz w:val="24"/>
          <w:szCs w:val="24"/>
          <w:lang w:eastAsia="fr-FR" w:bidi="ar-MA"/>
        </w:rPr>
        <w:t>.</w:t>
      </w:r>
    </w:p>
    <w:p w14:paraId="19B3BB05"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لعبت الأزمات المالية، مثل أزمة 2008، دورًا في إعادة النظر في نموذج الرأسمالية التقليدية. فخلال هذه الأزمات، برزت الحاجة إلى نماذج اقتصادية بديلة مرنة ومستدامة. هكذا، أعادت الحكومات والمنظمات الدولية إحياء مفاهيم مثل "الاقتصاد الأخضر" كجزء من حزم التحفيز الاقتصادي، ما ساهم في ظهور الرأسمالية الخضراء كبديل مُزعوم يُوازن بين النمو وحماية البيئة</w:t>
      </w:r>
      <w:r w:rsidRPr="000C517B">
        <w:rPr>
          <w:rStyle w:val="FootnoteReference"/>
          <w:rFonts w:eastAsia="Times New Roman" w:cstheme="minorHAnsi"/>
          <w:sz w:val="24"/>
          <w:szCs w:val="24"/>
          <w:rtl/>
          <w:lang w:eastAsia="fr-FR" w:bidi="ar-MA"/>
        </w:rPr>
        <w:footnoteReference w:id="3"/>
      </w:r>
      <w:r w:rsidRPr="000C517B">
        <w:rPr>
          <w:rFonts w:eastAsia="Times New Roman" w:cstheme="minorHAnsi"/>
          <w:sz w:val="24"/>
          <w:szCs w:val="24"/>
          <w:lang w:eastAsia="fr-FR" w:bidi="ar-MA"/>
        </w:rPr>
        <w:t>.</w:t>
      </w:r>
    </w:p>
    <w:p w14:paraId="1F1A7327"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 xml:space="preserve">غير أن ما ساهم أكثر في بروز مفاهيم الانتقال الزراعي والانتقال الطاقي هو صعود الوعي البيئي العالمي. ازداد الوعي بأهمية الحفاظ على الموارد الطبيعية بعد تقارير علمية دولية، مثل تقارير الهيئة الحكومية الدولية المعنية بتغير المناخ </w:t>
      </w:r>
      <w:r w:rsidRPr="000C517B">
        <w:rPr>
          <w:rFonts w:eastAsia="Times New Roman" w:cstheme="minorHAnsi"/>
          <w:sz w:val="24"/>
          <w:szCs w:val="24"/>
          <w:lang w:eastAsia="fr-FR" w:bidi="ar-MA"/>
        </w:rPr>
        <w:t>(IPCC)</w:t>
      </w:r>
      <w:r w:rsidRPr="000C517B">
        <w:rPr>
          <w:rFonts w:eastAsia="Times New Roman" w:cstheme="minorHAnsi"/>
          <w:sz w:val="24"/>
          <w:szCs w:val="24"/>
          <w:rtl/>
          <w:lang w:eastAsia="fr-FR" w:bidi="ar-MA"/>
        </w:rPr>
        <w:t xml:space="preserve">. أدى هذا إلى دفع منظمات مثل برنامج الأمم المتحدة </w:t>
      </w:r>
      <w:r w:rsidRPr="0062194B">
        <w:rPr>
          <w:rFonts w:eastAsia="Times New Roman" w:cstheme="minorHAnsi"/>
          <w:sz w:val="24"/>
          <w:szCs w:val="24"/>
          <w:rtl/>
          <w:lang w:eastAsia="fr-FR" w:bidi="ar-MA"/>
        </w:rPr>
        <w:t>للبيئة</w:t>
      </w:r>
      <w:r w:rsidRPr="0062194B">
        <w:rPr>
          <w:rFonts w:eastAsia="Times New Roman" w:cstheme="minorHAnsi"/>
          <w:sz w:val="24"/>
          <w:szCs w:val="24"/>
          <w:lang w:eastAsia="fr-FR" w:bidi="ar-MA"/>
        </w:rPr>
        <w:t xml:space="preserve"> (UNEP) </w:t>
      </w:r>
      <w:r w:rsidRPr="0062194B">
        <w:rPr>
          <w:rFonts w:eastAsia="Times New Roman" w:cstheme="minorHAnsi"/>
          <w:sz w:val="24"/>
          <w:szCs w:val="24"/>
          <w:rtl/>
          <w:lang w:eastAsia="fr-FR" w:bidi="ar-MA"/>
        </w:rPr>
        <w:t>إلى طرح مفاهيم مثل "الاقتصاد الأخضر" في تقريرها لعام 2011، الذي دعا إلى استثمارات في الطاقة المتجددة وإدارة النف</w:t>
      </w:r>
      <w:r w:rsidRPr="000C517B">
        <w:rPr>
          <w:rFonts w:eastAsia="Times New Roman" w:cstheme="minorHAnsi"/>
          <w:sz w:val="24"/>
          <w:szCs w:val="24"/>
          <w:rtl/>
          <w:lang w:eastAsia="fr-FR" w:bidi="ar-MA"/>
        </w:rPr>
        <w:t>ايات، مما أثر على تبني الرأسمالية الخضراء كجزء من السياسات الحكومية والشركات</w:t>
      </w:r>
      <w:r w:rsidRPr="000C517B">
        <w:rPr>
          <w:rFonts w:eastAsia="Times New Roman" w:cstheme="minorHAnsi"/>
          <w:sz w:val="24"/>
          <w:szCs w:val="24"/>
          <w:lang w:eastAsia="fr-FR" w:bidi="ar-MA"/>
        </w:rPr>
        <w:t>.</w:t>
      </w:r>
    </w:p>
    <w:p w14:paraId="54C06BD2"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وفي هذا السياق أيضا، برزت منافسة بين النموذجين الرأسماليين الأمريكي (الليبرالي الجديد) والصيني (القائم على سيطرة الدولة). في هذا السياق، سعت الدول إلى تعزيز شرعيتها عبر تبني مفاهيم "خضراء" لتحسين الصورة الدولية وجذب الاستثمارات. على سبيل المثال، روجت الصين لاستثماراتها في الطاقة المتجددة كجزء من نموذجها الرأسمالي</w:t>
      </w:r>
      <w:r w:rsidRPr="000C517B">
        <w:rPr>
          <w:rStyle w:val="FootnoteReference"/>
          <w:rFonts w:eastAsia="Times New Roman" w:cstheme="minorHAnsi"/>
          <w:sz w:val="24"/>
          <w:szCs w:val="24"/>
          <w:rtl/>
          <w:lang w:eastAsia="fr-FR" w:bidi="ar-MA"/>
        </w:rPr>
        <w:footnoteReference w:id="4"/>
      </w:r>
      <w:r w:rsidRPr="000C517B">
        <w:rPr>
          <w:rFonts w:eastAsia="Times New Roman" w:cstheme="minorHAnsi"/>
          <w:sz w:val="24"/>
          <w:szCs w:val="24"/>
          <w:rtl/>
          <w:lang w:eastAsia="fr-FR" w:bidi="ar-MA"/>
        </w:rPr>
        <w:t>، بينما دعمت الولايات المتحدة مشاريع التقنيات النظيفة</w:t>
      </w:r>
      <w:r w:rsidRPr="000C517B">
        <w:rPr>
          <w:rStyle w:val="FootnoteReference"/>
          <w:rFonts w:eastAsia="Times New Roman" w:cstheme="minorHAnsi"/>
          <w:sz w:val="24"/>
          <w:szCs w:val="24"/>
          <w:rtl/>
          <w:lang w:eastAsia="fr-FR" w:bidi="ar-MA"/>
        </w:rPr>
        <w:footnoteReference w:id="5"/>
      </w:r>
      <w:r w:rsidRPr="000C517B">
        <w:rPr>
          <w:rFonts w:eastAsia="Times New Roman" w:cstheme="minorHAnsi"/>
          <w:sz w:val="24"/>
          <w:szCs w:val="24"/>
          <w:lang w:eastAsia="fr-FR" w:bidi="ar-MA"/>
        </w:rPr>
        <w:t>.</w:t>
      </w:r>
    </w:p>
    <w:p w14:paraId="74F52A28"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غير أن الرأسمالية العالمية واجهت، منذ سنوات 1970، انتقادات لتركيزها على "خصخصة الأرباح وتشريك مجتمعي للخسائر المتنوعة التي تسببها". أشارت دراسات إلى أن 90 شركة فقط مسؤولة عن ثلثي الانبعاثات الكربونية منذ الثورة الصناعية</w:t>
      </w:r>
      <w:r w:rsidRPr="000C517B">
        <w:rPr>
          <w:rStyle w:val="FootnoteReference"/>
          <w:rFonts w:eastAsia="Times New Roman" w:cstheme="minorHAnsi"/>
          <w:sz w:val="24"/>
          <w:szCs w:val="24"/>
          <w:rtl/>
          <w:lang w:eastAsia="fr-FR" w:bidi="ar-MA"/>
        </w:rPr>
        <w:footnoteReference w:id="6"/>
      </w:r>
      <w:r w:rsidRPr="000C517B">
        <w:rPr>
          <w:rFonts w:eastAsia="Times New Roman" w:cstheme="minorHAnsi"/>
          <w:sz w:val="24"/>
          <w:szCs w:val="24"/>
          <w:rtl/>
          <w:lang w:eastAsia="fr-FR" w:bidi="ar-MA"/>
        </w:rPr>
        <w:t>، ما دفع إلى الدعوة لإصلاحات جذرية مثل فرض ضرائب الكربون وإلغاء دعم الوقود الأحفوري. هنا، برزت الرأسمالية الخضراء كمحاولة لاحتواء هذه الانتقادات دون تغيير جذري في النظام</w:t>
      </w:r>
      <w:r w:rsidRPr="000C517B">
        <w:rPr>
          <w:rFonts w:eastAsia="Times New Roman" w:cstheme="minorHAnsi"/>
          <w:sz w:val="24"/>
          <w:szCs w:val="24"/>
          <w:lang w:eastAsia="fr-FR" w:bidi="ar-MA"/>
        </w:rPr>
        <w:t>.</w:t>
      </w:r>
    </w:p>
    <w:p w14:paraId="7C5F3CAF"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 xml:space="preserve">وساهمت التطورات في تكنولوجيا الطاقة المتجددة (مثل الطاقة الشمسية وطاقة الرياح) في غزو الحلول الخضراء أكثر للمجال الاقتصادي. بالإضافة إلى ذلك، شجعت اتفاقيات دولية مثل اتفاقية باريس للمناخ (2015) الدول على تبني سياسات خضراء. </w:t>
      </w:r>
      <w:r w:rsidRPr="000C517B">
        <w:rPr>
          <w:rFonts w:eastAsia="Times New Roman" w:cstheme="minorHAnsi"/>
          <w:sz w:val="24"/>
          <w:szCs w:val="24"/>
          <w:rtl/>
          <w:lang w:eastAsia="fr-FR" w:bidi="ar-MA"/>
        </w:rPr>
        <w:lastRenderedPageBreak/>
        <w:t>ومع ذلك، أظهرت بعض الدراسات أن 71% من الاستثمارات المنسوبة للبيئة لا تتوافق مع أهداف الاتفاقية، ما يعكس الفجوة بين الخطاب والتطبيق</w:t>
      </w:r>
      <w:r w:rsidRPr="000C517B">
        <w:rPr>
          <w:rStyle w:val="FootnoteReference"/>
          <w:rFonts w:eastAsia="Times New Roman" w:cstheme="minorHAnsi"/>
          <w:sz w:val="24"/>
          <w:szCs w:val="24"/>
          <w:rtl/>
          <w:lang w:eastAsia="fr-FR" w:bidi="ar-MA"/>
        </w:rPr>
        <w:footnoteReference w:id="7"/>
      </w:r>
      <w:r w:rsidRPr="000C517B">
        <w:rPr>
          <w:rFonts w:eastAsia="Times New Roman" w:cstheme="minorHAnsi"/>
          <w:sz w:val="24"/>
          <w:szCs w:val="24"/>
          <w:lang w:eastAsia="fr-FR" w:bidi="ar-MA"/>
        </w:rPr>
        <w:t>.</w:t>
      </w:r>
    </w:p>
    <w:p w14:paraId="6CA80506"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إجمالا، ظهرت الرأسمالية الخضراء عالميا كجواب على الأزمات البيئية والاقتصادية المتلاحقة، وكمحاولة لتجديد شرعية النظام الرأسمالي في عصر الوعي البيئي. ومع ذلك، لا تزال تواجه تحديات جذرية، مثل تعارضها مع مبدأ "تعظيم الربح" الذي تقوم عليه الرأسمالية، وتركيزها على حلول سوقية قد لا تُغيّر الأنماط الاستهلاكية المُدمرة للبيئة</w:t>
      </w:r>
      <w:r w:rsidRPr="000C517B">
        <w:rPr>
          <w:rFonts w:eastAsia="Times New Roman" w:cstheme="minorHAnsi"/>
          <w:sz w:val="24"/>
          <w:szCs w:val="24"/>
          <w:lang w:eastAsia="fr-FR" w:bidi="ar-MA"/>
        </w:rPr>
        <w:t>.</w:t>
      </w:r>
    </w:p>
    <w:p w14:paraId="04D5B656"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يُعتبر الوقود الأحفوري أحد الركائز الأساسية التي تقوم عليها الرأسمالية، وهو أيضًا عنصرٌ مركزي في النقاشات النقدية حول الرأسمالية الخضراء. فالنفط والفحم والغاز أساس النمو الاقتصادي العالمي منذ الثورة الصناعية، حيث ارتبطت الرأسمالية بتحويل الموارد الطبيعية إلى سلع لتعظيم الأرباح. ومعظم الشركات المسؤولة عن جزء كبير من الانبعاثات الكربونية العالمية منذ القرن التاسع عشر، هي شركات وقود أحفوري</w:t>
      </w:r>
      <w:r w:rsidRPr="000C517B">
        <w:rPr>
          <w:rFonts w:eastAsia="Times New Roman" w:cstheme="minorHAnsi"/>
          <w:sz w:val="24"/>
          <w:szCs w:val="24"/>
          <w:lang w:eastAsia="fr-FR" w:bidi="ar-MA"/>
        </w:rPr>
        <w:t>.</w:t>
      </w:r>
      <w:r w:rsidRPr="000C517B">
        <w:rPr>
          <w:rFonts w:eastAsia="Times New Roman" w:cstheme="minorHAnsi"/>
          <w:sz w:val="24"/>
          <w:szCs w:val="24"/>
          <w:rtl/>
          <w:lang w:eastAsia="fr-FR" w:bidi="ar-MA"/>
        </w:rPr>
        <w:t xml:space="preserve"> وقد أدى النموذج المعتمد على هذا الوقود إلى تدمير بيئي ممنهج، مثل ذوبان الجليد وارتفاع منسوب البحار، الذي يهدد مناطق مختلف من العالم. هذا علما أن صناعة الوقود الأحفوري يجري دعمها عبر إعانات حكومية ضخمة، مثلًا: في 2017، بلغت الإعانات العالمية المباشرة وغير المباشرة لهذه الصناعة 5.5 تريليون دولار</w:t>
      </w:r>
      <w:r w:rsidRPr="000C517B">
        <w:rPr>
          <w:rStyle w:val="FootnoteReference"/>
          <w:rFonts w:eastAsia="Times New Roman" w:cstheme="minorHAnsi"/>
          <w:sz w:val="24"/>
          <w:szCs w:val="24"/>
          <w:rtl/>
          <w:lang w:eastAsia="fr-FR" w:bidi="ar-MA"/>
        </w:rPr>
        <w:footnoteReference w:id="8"/>
      </w:r>
      <w:r w:rsidRPr="000C517B">
        <w:rPr>
          <w:rFonts w:eastAsia="Times New Roman" w:cstheme="minorHAnsi"/>
          <w:sz w:val="24"/>
          <w:szCs w:val="24"/>
          <w:rtl/>
          <w:lang w:eastAsia="fr-FR" w:bidi="ar-MA"/>
        </w:rPr>
        <w:t>.</w:t>
      </w:r>
    </w:p>
    <w:p w14:paraId="15C0BE29" w14:textId="77777777" w:rsidR="000C517B" w:rsidRPr="000C517B" w:rsidRDefault="000C517B" w:rsidP="000C517B">
      <w:pPr>
        <w:bidi/>
        <w:spacing w:before="100" w:beforeAutospacing="1" w:after="100" w:afterAutospacing="1" w:line="240" w:lineRule="auto"/>
        <w:jc w:val="both"/>
        <w:rPr>
          <w:rFonts w:eastAsia="Times New Roman" w:cstheme="minorHAnsi"/>
          <w:sz w:val="24"/>
          <w:szCs w:val="24"/>
          <w:rtl/>
          <w:lang w:eastAsia="fr-FR" w:bidi="ar-MA"/>
        </w:rPr>
      </w:pPr>
      <w:r w:rsidRPr="000C517B">
        <w:rPr>
          <w:rFonts w:eastAsia="Times New Roman" w:cstheme="minorHAnsi"/>
          <w:sz w:val="24"/>
          <w:szCs w:val="24"/>
          <w:rtl/>
          <w:lang w:eastAsia="fr-FR" w:bidi="ar-MA"/>
        </w:rPr>
        <w:t>ورغم ادعاءات الرأسمالية الخضراء بضمان تحول نحو الاستدامة، فإنها غالبًا ما تكرس الاعتماد على الوقود الأحفوري باستخدام حلول سوقية وهمية مثل "تعويضات الكربون" و"الحياد الصفري"</w:t>
      </w:r>
      <w:r w:rsidRPr="000C517B">
        <w:rPr>
          <w:rStyle w:val="FootnoteReference"/>
          <w:rFonts w:eastAsia="Times New Roman" w:cstheme="minorHAnsi"/>
          <w:sz w:val="24"/>
          <w:szCs w:val="24"/>
          <w:rtl/>
          <w:lang w:eastAsia="fr-FR" w:bidi="ar-MA"/>
        </w:rPr>
        <w:footnoteReference w:id="9"/>
      </w:r>
      <w:r w:rsidRPr="000C517B">
        <w:rPr>
          <w:rFonts w:eastAsia="Times New Roman" w:cstheme="minorHAnsi"/>
          <w:sz w:val="24"/>
          <w:szCs w:val="24"/>
          <w:rtl/>
          <w:lang w:eastAsia="fr-FR" w:bidi="ar-MA"/>
        </w:rPr>
        <w:t>، التي تسمح للشركات بالاستمرار في التلويث عبر شراء أرصدة كربونية دون تغيير جذري في أنماط الإنتاج، وعلى سبيل المثال، تعيد الشراكات بين القطاعين العام والخاص انتاج نفس المنطق بتفضيلها مصالح الشركات الكبرى، وأيضا اتفاقيات التبادل الحر التي تسمح للدول الغنية باستنزاف موارد الجنوب العالمي</w:t>
      </w:r>
      <w:r w:rsidRPr="000C517B">
        <w:rPr>
          <w:rFonts w:eastAsia="Times New Roman" w:cstheme="minorHAnsi"/>
          <w:sz w:val="24"/>
          <w:szCs w:val="24"/>
          <w:lang w:eastAsia="fr-FR" w:bidi="ar-MA"/>
        </w:rPr>
        <w:t>.</w:t>
      </w:r>
      <w:r w:rsidRPr="000C517B">
        <w:rPr>
          <w:rFonts w:eastAsia="Times New Roman" w:cstheme="minorHAnsi"/>
          <w:sz w:val="24"/>
          <w:szCs w:val="24"/>
          <w:rtl/>
          <w:lang w:eastAsia="fr-FR" w:bidi="ar-MA"/>
        </w:rPr>
        <w:t xml:space="preserve"> إنها استثمارات خضراء زائفة، أغلبها لا تتوافق مع أهداف اتفاقية باريس للمناخ، على سبيل المثال</w:t>
      </w:r>
      <w:r w:rsidRPr="000C517B">
        <w:rPr>
          <w:rFonts w:eastAsia="Times New Roman" w:cstheme="minorHAnsi"/>
          <w:sz w:val="24"/>
          <w:szCs w:val="24"/>
          <w:lang w:eastAsia="fr-FR" w:bidi="ar-MA"/>
        </w:rPr>
        <w:t>.</w:t>
      </w:r>
    </w:p>
    <w:p w14:paraId="55ACB04C" w14:textId="77777777" w:rsidR="00FF13A6" w:rsidRPr="000C517B" w:rsidRDefault="00FF13A6">
      <w:pPr>
        <w:rPr>
          <w:sz w:val="16"/>
          <w:szCs w:val="16"/>
          <w:lang w:bidi="ar-MA"/>
        </w:rPr>
      </w:pPr>
    </w:p>
    <w:sectPr w:rsidR="00FF13A6" w:rsidRPr="000C51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5A34" w14:textId="77777777" w:rsidR="003530D5" w:rsidRDefault="003530D5" w:rsidP="000C517B">
      <w:pPr>
        <w:spacing w:after="0" w:line="240" w:lineRule="auto"/>
      </w:pPr>
      <w:r>
        <w:separator/>
      </w:r>
    </w:p>
  </w:endnote>
  <w:endnote w:type="continuationSeparator" w:id="0">
    <w:p w14:paraId="430BCF32" w14:textId="77777777" w:rsidR="003530D5" w:rsidRDefault="003530D5" w:rsidP="000C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2420" w14:textId="77777777" w:rsidR="003530D5" w:rsidRDefault="003530D5" w:rsidP="000C517B">
      <w:pPr>
        <w:spacing w:after="0" w:line="240" w:lineRule="auto"/>
      </w:pPr>
      <w:r>
        <w:separator/>
      </w:r>
    </w:p>
  </w:footnote>
  <w:footnote w:type="continuationSeparator" w:id="0">
    <w:p w14:paraId="57B84176" w14:textId="77777777" w:rsidR="003530D5" w:rsidRDefault="003530D5" w:rsidP="000C517B">
      <w:pPr>
        <w:spacing w:after="0" w:line="240" w:lineRule="auto"/>
      </w:pPr>
      <w:r>
        <w:continuationSeparator/>
      </w:r>
    </w:p>
  </w:footnote>
  <w:footnote w:id="1">
    <w:p w14:paraId="1BC2E7ED" w14:textId="77777777" w:rsidR="000C517B" w:rsidRPr="00C319A4" w:rsidRDefault="000C517B" w:rsidP="000C517B">
      <w:pPr>
        <w:pStyle w:val="FootnoteText"/>
        <w:rPr>
          <w:rtl/>
          <w:lang w:bidi="ar-MA"/>
        </w:rPr>
      </w:pPr>
      <w:r>
        <w:rPr>
          <w:rStyle w:val="FootnoteReference"/>
        </w:rPr>
        <w:footnoteRef/>
      </w:r>
      <w:r>
        <w:t xml:space="preserve"> </w:t>
      </w:r>
      <w:hyperlink r:id="rId1" w:history="1">
        <w:r w:rsidRPr="00C319A4">
          <w:rPr>
            <w:color w:val="0000FF"/>
            <w:sz w:val="22"/>
            <w:szCs w:val="22"/>
            <w:u w:val="single"/>
            <w:rtl/>
          </w:rPr>
          <w:t>تعويض الكربون - ويكيبيديا</w:t>
        </w:r>
      </w:hyperlink>
    </w:p>
  </w:footnote>
  <w:footnote w:id="2">
    <w:p w14:paraId="1F482C9E" w14:textId="77777777" w:rsidR="000C517B" w:rsidRDefault="000C517B" w:rsidP="000C517B">
      <w:pPr>
        <w:pStyle w:val="FootnoteText"/>
        <w:rPr>
          <w:rtl/>
          <w:lang w:bidi="ar-MA"/>
        </w:rPr>
      </w:pPr>
      <w:r>
        <w:rPr>
          <w:rStyle w:val="FootnoteReference"/>
        </w:rPr>
        <w:footnoteRef/>
      </w:r>
      <w:r>
        <w:t xml:space="preserve"> </w:t>
      </w:r>
      <w:hyperlink r:id="rId2" w:anchor=":~:text=%D8%A7%D9%84%D8%A7%D8%B3%D8%AA%D8%AB%D9%85%D8%A7%D8%B1%20%D8%A7%D9%84%D8%A3%D8%AE%D8%B6%D8%B1%20%28Green%20Investment%29%3A%20%D9%8A%D8%B9%D8%AF%20%D8%A7%D9%84%D8%A7%D8%B3%D8%AA%D8%AB%D9%85%D8%A7%D8%B1%20%D8%A7%D9%84%D8%A3%D8%AE%D8%B6%D8%B1%20%D9%" w:history="1">
        <w:r w:rsidRPr="00C319A4">
          <w:rPr>
            <w:color w:val="0000FF"/>
            <w:sz w:val="22"/>
            <w:szCs w:val="22"/>
            <w:u w:val="single"/>
            <w:rtl/>
          </w:rPr>
          <w:t xml:space="preserve">شرح معنى </w:t>
        </w:r>
        <w:r w:rsidRPr="00C319A4">
          <w:rPr>
            <w:color w:val="0000FF"/>
            <w:sz w:val="22"/>
            <w:szCs w:val="22"/>
            <w:u w:val="single"/>
          </w:rPr>
          <w:t xml:space="preserve">" </w:t>
        </w:r>
        <w:r w:rsidRPr="00C319A4">
          <w:rPr>
            <w:color w:val="0000FF"/>
            <w:sz w:val="22"/>
            <w:szCs w:val="22"/>
            <w:u w:val="single"/>
            <w:rtl/>
          </w:rPr>
          <w:t xml:space="preserve">الاستثمار الأخضر </w:t>
        </w:r>
        <w:r w:rsidRPr="00C319A4">
          <w:rPr>
            <w:color w:val="0000FF"/>
            <w:sz w:val="22"/>
            <w:szCs w:val="22"/>
            <w:u w:val="single"/>
          </w:rPr>
          <w:t xml:space="preserve">" </w:t>
        </w:r>
        <w:proofErr w:type="gramStart"/>
        <w:r w:rsidRPr="00C319A4">
          <w:rPr>
            <w:color w:val="0000FF"/>
            <w:sz w:val="22"/>
            <w:szCs w:val="22"/>
            <w:u w:val="single"/>
          </w:rPr>
          <w:t>( Green</w:t>
        </w:r>
        <w:proofErr w:type="gramEnd"/>
        <w:r w:rsidRPr="00C319A4">
          <w:rPr>
            <w:color w:val="0000FF"/>
            <w:sz w:val="22"/>
            <w:szCs w:val="22"/>
            <w:u w:val="single"/>
          </w:rPr>
          <w:t xml:space="preserve"> Investment ) | </w:t>
        </w:r>
        <w:r w:rsidRPr="00C319A4">
          <w:rPr>
            <w:color w:val="0000FF"/>
            <w:sz w:val="22"/>
            <w:szCs w:val="22"/>
            <w:u w:val="single"/>
            <w:rtl/>
          </w:rPr>
          <w:t>دليل مصطلحات هارفارد بزنس ريفيو</w:t>
        </w:r>
      </w:hyperlink>
    </w:p>
  </w:footnote>
  <w:footnote w:id="3">
    <w:p w14:paraId="2EE461BF" w14:textId="77777777" w:rsidR="000C517B" w:rsidRDefault="000C517B" w:rsidP="000C517B">
      <w:pPr>
        <w:pStyle w:val="FootnoteText"/>
        <w:rPr>
          <w:rtl/>
          <w:lang w:bidi="ar-MA"/>
        </w:rPr>
      </w:pPr>
      <w:r>
        <w:rPr>
          <w:rStyle w:val="FootnoteReference"/>
        </w:rPr>
        <w:footnoteRef/>
      </w:r>
      <w:r>
        <w:t xml:space="preserve"> </w:t>
      </w:r>
      <w:hyperlink r:id="rId3" w:anchor=":~:text=%D9%88%D9%85%D9%86%20%D8%AB%D9%85%D8%8C%20%D8%AC%D8%A7%D8%A1%20%D8%A7%D8%B9%D8%AA%D9%85%D8%A7%D8%AF%20%D9%85%D9%81%D9%87%D9%88%D9%85%20%D8%A7%D9%84%D8%A7%D9%82%D8%AA%D8%B5%D8%A7%D8%AF%20%D8%A7%D9%84%D8%A3%D8%AE%D8%B6%D8%B1%20%D9%84%D9%8A%D8%B4%D9%" w:history="1">
        <w:r w:rsidRPr="002F18D7">
          <w:rPr>
            <w:color w:val="0000FF"/>
            <w:sz w:val="22"/>
            <w:szCs w:val="22"/>
            <w:u w:val="single"/>
            <w:rtl/>
          </w:rPr>
          <w:t xml:space="preserve">تجارب الدول العربية </w:t>
        </w:r>
        <w:proofErr w:type="spellStart"/>
        <w:r w:rsidRPr="002F18D7">
          <w:rPr>
            <w:color w:val="0000FF"/>
            <w:sz w:val="22"/>
            <w:szCs w:val="22"/>
            <w:u w:val="single"/>
            <w:rtl/>
          </w:rPr>
          <w:t>فى</w:t>
        </w:r>
        <w:proofErr w:type="spellEnd"/>
        <w:r w:rsidRPr="002F18D7">
          <w:rPr>
            <w:color w:val="0000FF"/>
            <w:sz w:val="22"/>
            <w:szCs w:val="22"/>
            <w:u w:val="single"/>
            <w:rtl/>
          </w:rPr>
          <w:t xml:space="preserve"> التحول للاقتصاد الأخضر - مجلة السياسة الدولية</w:t>
        </w:r>
      </w:hyperlink>
    </w:p>
  </w:footnote>
  <w:footnote w:id="4">
    <w:p w14:paraId="0A86A6A5" w14:textId="77777777" w:rsidR="000C517B" w:rsidRDefault="000C517B" w:rsidP="000C517B">
      <w:pPr>
        <w:pStyle w:val="FootnoteText"/>
        <w:bidi/>
        <w:rPr>
          <w:rtl/>
          <w:lang w:bidi="ar-MA"/>
        </w:rPr>
      </w:pPr>
      <w:r>
        <w:rPr>
          <w:rStyle w:val="FootnoteReference"/>
        </w:rPr>
        <w:footnoteRef/>
      </w:r>
      <w:r>
        <w:t xml:space="preserve"> </w:t>
      </w:r>
      <w:hyperlink r:id="rId4" w:history="1">
        <w:r w:rsidRPr="002F18D7">
          <w:rPr>
            <w:color w:val="0000FF"/>
            <w:sz w:val="22"/>
            <w:szCs w:val="22"/>
            <w:u w:val="single"/>
            <w:rtl/>
          </w:rPr>
          <w:t>الصين تعزز استثماراتها في الطاقة المتجددة | مجلة نقطة العلمية</w:t>
        </w:r>
      </w:hyperlink>
    </w:p>
  </w:footnote>
  <w:footnote w:id="5">
    <w:p w14:paraId="6AB3BBA4" w14:textId="77777777" w:rsidR="000C517B" w:rsidRDefault="000C517B" w:rsidP="000C517B">
      <w:pPr>
        <w:pStyle w:val="FootnoteText"/>
        <w:bidi/>
        <w:rPr>
          <w:rtl/>
          <w:lang w:bidi="ar-MA"/>
        </w:rPr>
      </w:pPr>
      <w:r>
        <w:rPr>
          <w:rStyle w:val="FootnoteReference"/>
        </w:rPr>
        <w:footnoteRef/>
      </w:r>
      <w:r>
        <w:t xml:space="preserve"> </w:t>
      </w:r>
      <w:hyperlink r:id="rId5" w:history="1">
        <w:r w:rsidRPr="002F18D7">
          <w:rPr>
            <w:color w:val="0000FF"/>
            <w:sz w:val="22"/>
            <w:szCs w:val="22"/>
            <w:u w:val="single"/>
            <w:rtl/>
          </w:rPr>
          <w:t xml:space="preserve">برامج الطاقة النظيفة في الولايات المتحدة الأمريكية - سيجما </w:t>
        </w:r>
        <w:proofErr w:type="spellStart"/>
        <w:r w:rsidRPr="002F18D7">
          <w:rPr>
            <w:color w:val="0000FF"/>
            <w:sz w:val="22"/>
            <w:szCs w:val="22"/>
            <w:u w:val="single"/>
            <w:rtl/>
          </w:rPr>
          <w:t>إيرث</w:t>
        </w:r>
        <w:proofErr w:type="spellEnd"/>
      </w:hyperlink>
    </w:p>
  </w:footnote>
  <w:footnote w:id="6">
    <w:p w14:paraId="0C326929" w14:textId="77777777" w:rsidR="000C517B" w:rsidRDefault="000C517B" w:rsidP="000C517B">
      <w:pPr>
        <w:pStyle w:val="FootnoteText"/>
        <w:bidi/>
        <w:rPr>
          <w:rtl/>
          <w:lang w:bidi="ar-MA"/>
        </w:rPr>
      </w:pPr>
      <w:r>
        <w:rPr>
          <w:rStyle w:val="FootnoteReference"/>
        </w:rPr>
        <w:footnoteRef/>
      </w:r>
      <w:r>
        <w:t xml:space="preserve"> </w:t>
      </w:r>
      <w:hyperlink r:id="rId6" w:history="1">
        <w:r w:rsidRPr="00EA1BC3">
          <w:rPr>
            <w:color w:val="0000FF"/>
            <w:sz w:val="22"/>
            <w:szCs w:val="22"/>
            <w:u w:val="single"/>
            <w:rtl/>
          </w:rPr>
          <w:t>تتحمل هذه المئة شركة مسؤولية 71% من انبعاثات الغازات الدفيئة في العالم</w:t>
        </w:r>
      </w:hyperlink>
    </w:p>
  </w:footnote>
  <w:footnote w:id="7">
    <w:p w14:paraId="04F8F090" w14:textId="77777777" w:rsidR="000C517B" w:rsidRDefault="000C517B" w:rsidP="000C517B">
      <w:pPr>
        <w:pStyle w:val="FootnoteText"/>
        <w:rPr>
          <w:rtl/>
          <w:lang w:bidi="ar-MA"/>
        </w:rPr>
      </w:pPr>
      <w:r>
        <w:rPr>
          <w:rStyle w:val="FootnoteReference"/>
        </w:rPr>
        <w:footnoteRef/>
      </w:r>
      <w:r>
        <w:t xml:space="preserve"> </w:t>
      </w:r>
      <w:hyperlink r:id="rId7" w:history="1">
        <w:proofErr w:type="spellStart"/>
        <w:r w:rsidRPr="00E95885">
          <w:rPr>
            <w:color w:val="0000FF"/>
            <w:sz w:val="22"/>
            <w:szCs w:val="22"/>
            <w:u w:val="single"/>
          </w:rPr>
          <w:t>InfluenceMap</w:t>
        </w:r>
        <w:proofErr w:type="spellEnd"/>
        <w:r w:rsidRPr="00E95885">
          <w:rPr>
            <w:color w:val="0000FF"/>
            <w:sz w:val="22"/>
            <w:szCs w:val="22"/>
            <w:u w:val="single"/>
          </w:rPr>
          <w:t xml:space="preserve"> </w:t>
        </w:r>
        <w:proofErr w:type="spellStart"/>
        <w:r w:rsidRPr="00E95885">
          <w:rPr>
            <w:color w:val="0000FF"/>
            <w:sz w:val="22"/>
            <w:szCs w:val="22"/>
            <w:u w:val="single"/>
          </w:rPr>
          <w:t>Substantial</w:t>
        </w:r>
        <w:proofErr w:type="spellEnd"/>
        <w:r w:rsidRPr="00E95885">
          <w:rPr>
            <w:color w:val="0000FF"/>
            <w:sz w:val="22"/>
            <w:szCs w:val="22"/>
            <w:u w:val="single"/>
          </w:rPr>
          <w:t xml:space="preserve"> Net-</w:t>
        </w:r>
        <w:proofErr w:type="spellStart"/>
        <w:r w:rsidRPr="00E95885">
          <w:rPr>
            <w:color w:val="0000FF"/>
            <w:sz w:val="22"/>
            <w:szCs w:val="22"/>
            <w:u w:val="single"/>
          </w:rPr>
          <w:t>Zero</w:t>
        </w:r>
        <w:proofErr w:type="spellEnd"/>
        <w:r w:rsidRPr="00E95885">
          <w:rPr>
            <w:color w:val="0000FF"/>
            <w:sz w:val="22"/>
            <w:szCs w:val="22"/>
            <w:u w:val="single"/>
          </w:rPr>
          <w:t xml:space="preserve"> </w:t>
        </w:r>
        <w:proofErr w:type="spellStart"/>
        <w:r w:rsidRPr="00E95885">
          <w:rPr>
            <w:color w:val="0000FF"/>
            <w:sz w:val="22"/>
            <w:szCs w:val="22"/>
            <w:u w:val="single"/>
          </w:rPr>
          <w:t>Misalignment</w:t>
        </w:r>
        <w:proofErr w:type="spellEnd"/>
        <w:r w:rsidRPr="00E95885">
          <w:rPr>
            <w:color w:val="0000FF"/>
            <w:sz w:val="22"/>
            <w:szCs w:val="22"/>
            <w:u w:val="single"/>
          </w:rPr>
          <w:t xml:space="preserve"> </w:t>
        </w:r>
        <w:proofErr w:type="spellStart"/>
        <w:r w:rsidRPr="00E95885">
          <w:rPr>
            <w:color w:val="0000FF"/>
            <w:sz w:val="22"/>
            <w:szCs w:val="22"/>
            <w:u w:val="single"/>
          </w:rPr>
          <w:t>Among</w:t>
        </w:r>
        <w:proofErr w:type="spellEnd"/>
        <w:r w:rsidRPr="00E95885">
          <w:rPr>
            <w:color w:val="0000FF"/>
            <w:sz w:val="22"/>
            <w:szCs w:val="22"/>
            <w:u w:val="single"/>
          </w:rPr>
          <w:t xml:space="preserve"> EU Funds </w:t>
        </w:r>
        <w:proofErr w:type="spellStart"/>
        <w:r w:rsidRPr="00E95885">
          <w:rPr>
            <w:color w:val="0000FF"/>
            <w:sz w:val="22"/>
            <w:szCs w:val="22"/>
            <w:u w:val="single"/>
          </w:rPr>
          <w:t>Despite</w:t>
        </w:r>
        <w:proofErr w:type="spellEnd"/>
        <w:r w:rsidRPr="00E95885">
          <w:rPr>
            <w:color w:val="0000FF"/>
            <w:sz w:val="22"/>
            <w:szCs w:val="22"/>
            <w:u w:val="single"/>
          </w:rPr>
          <w:t xml:space="preserve"> </w:t>
        </w:r>
        <w:proofErr w:type="spellStart"/>
        <w:r w:rsidRPr="00E95885">
          <w:rPr>
            <w:color w:val="0000FF"/>
            <w:sz w:val="22"/>
            <w:szCs w:val="22"/>
            <w:u w:val="single"/>
          </w:rPr>
          <w:t>Regulation</w:t>
        </w:r>
        <w:proofErr w:type="spellEnd"/>
      </w:hyperlink>
    </w:p>
  </w:footnote>
  <w:footnote w:id="8">
    <w:p w14:paraId="5D316D4C" w14:textId="77777777" w:rsidR="000C517B" w:rsidRPr="00C76A8B" w:rsidRDefault="000C517B" w:rsidP="000C517B">
      <w:pPr>
        <w:bidi/>
        <w:spacing w:before="100" w:beforeAutospacing="1" w:after="100" w:afterAutospacing="1"/>
        <w:jc w:val="both"/>
        <w:rPr>
          <w:rFonts w:ascii="Times New Roman" w:eastAsia="Times New Roman" w:hAnsi="Times New Roman" w:cs="Times New Roman"/>
          <w:sz w:val="24"/>
          <w:szCs w:val="24"/>
          <w:rtl/>
          <w:lang w:eastAsia="fr-FR"/>
        </w:rPr>
      </w:pPr>
      <w:r>
        <w:rPr>
          <w:rStyle w:val="FootnoteReference"/>
        </w:rPr>
        <w:footnoteRef/>
      </w:r>
      <w:r>
        <w:t xml:space="preserve"> </w:t>
      </w:r>
      <w:r w:rsidRPr="00C76A8B">
        <w:rPr>
          <w:rFonts w:ascii="Times New Roman" w:eastAsia="Times New Roman" w:hAnsi="Times New Roman" w:cs="Times New Roman"/>
          <w:sz w:val="24"/>
          <w:szCs w:val="24"/>
          <w:rtl/>
          <w:lang w:eastAsia="fr-FR"/>
        </w:rPr>
        <w:t>في عام 2017، قدرت دراسة صادرة عن صندوق النقد الدولي أن إجمالي الإعانات العالمية المباشرة وغير المباشرة لصناعة الوقود الأحفوري بلغ حوالي 5.2 تريليون دولار أمريكي، أي ما يعادل 6.5% من الناتج المحلي الإجمالي العالمي</w:t>
      </w:r>
      <w:r w:rsidRPr="00C76A8B">
        <w:rPr>
          <w:rFonts w:ascii="Times New Roman" w:eastAsia="Times New Roman" w:hAnsi="Times New Roman" w:cs="Times New Roman"/>
          <w:sz w:val="24"/>
          <w:szCs w:val="24"/>
          <w:lang w:eastAsia="fr-FR"/>
        </w:rPr>
        <w:t xml:space="preserve">. </w:t>
      </w:r>
      <w:r w:rsidRPr="00C76A8B">
        <w:rPr>
          <w:rFonts w:ascii="Times New Roman" w:eastAsia="Times New Roman" w:hAnsi="Times New Roman" w:cs="Times New Roman"/>
          <w:sz w:val="24"/>
          <w:szCs w:val="24"/>
          <w:rtl/>
          <w:lang w:eastAsia="fr-FR"/>
        </w:rPr>
        <w:t>وكانت هذه الإعانات تتألف من دعم أسعار الوقود، وتغطية تكاليف التلوث البيئي، والإعفاءات الضريبية، وغيرها من السياسات التي تشجع على استهلاك الوقود الأحفوري</w:t>
      </w:r>
      <w:r w:rsidRPr="00C76A8B">
        <w:rPr>
          <w:rFonts w:ascii="Times New Roman" w:eastAsia="Times New Roman" w:hAnsi="Times New Roman" w:cs="Times New Roman"/>
          <w:sz w:val="24"/>
          <w:szCs w:val="24"/>
          <w:lang w:eastAsia="fr-FR"/>
        </w:rPr>
        <w:t xml:space="preserve">. </w:t>
      </w:r>
      <w:hyperlink r:id="rId8" w:history="1">
        <w:r w:rsidRPr="00E95885">
          <w:rPr>
            <w:color w:val="0000FF"/>
            <w:u w:val="single"/>
          </w:rPr>
          <w:t>Les subventions mondiales aux combustibles fossiles restent importantes : une mise à jour basée sur des estimations au niveau national</w:t>
        </w:r>
      </w:hyperlink>
    </w:p>
  </w:footnote>
  <w:footnote w:id="9">
    <w:p w14:paraId="4C3AE429" w14:textId="77777777" w:rsidR="000C517B" w:rsidRDefault="000C517B" w:rsidP="000C517B">
      <w:pPr>
        <w:pStyle w:val="FootnoteText"/>
        <w:bidi/>
        <w:rPr>
          <w:rtl/>
          <w:lang w:bidi="ar-MA"/>
        </w:rPr>
      </w:pPr>
      <w:r w:rsidRPr="00397E67">
        <w:rPr>
          <w:rStyle w:val="FootnoteReference"/>
          <w:highlight w:val="yellow"/>
        </w:rPr>
        <w:footnoteRef/>
      </w:r>
      <w:r w:rsidRPr="00397E67">
        <w:rPr>
          <w:highlight w:val="yellow"/>
        </w:rPr>
        <w:t xml:space="preserve"> </w:t>
      </w:r>
      <w:hyperlink r:id="rId9" w:history="1">
        <w:r w:rsidRPr="00397E67">
          <w:rPr>
            <w:color w:val="0000FF"/>
            <w:sz w:val="22"/>
            <w:szCs w:val="22"/>
            <w:highlight w:val="yellow"/>
            <w:u w:val="single"/>
            <w:rtl/>
          </w:rPr>
          <w:t>ماذا يعني الحياد الكربوني وصافي الصفر وما الفرق بينهما؟ وما علاقتهما بتغير المناخ؟ - المستقبل الاخضر</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7B"/>
    <w:rsid w:val="000C517B"/>
    <w:rsid w:val="00101839"/>
    <w:rsid w:val="001E5A33"/>
    <w:rsid w:val="003530D5"/>
    <w:rsid w:val="005F7711"/>
    <w:rsid w:val="0062194B"/>
    <w:rsid w:val="006D62A4"/>
    <w:rsid w:val="00707012"/>
    <w:rsid w:val="009F4B02"/>
    <w:rsid w:val="00E94C97"/>
    <w:rsid w:val="00F2012D"/>
    <w:rsid w:val="00FF1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AB15D"/>
  <w15:chartTrackingRefBased/>
  <w15:docId w15:val="{1DBEBEBD-4E54-4209-BA6E-10391A5E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7B"/>
    <w:rPr>
      <w:rFonts w:eastAsiaTheme="minorHAnsi"/>
      <w:kern w:val="0"/>
      <w:lang w:val="fr-FR" w:eastAsia="en-US"/>
      <w14:ligatures w14:val="none"/>
    </w:rPr>
  </w:style>
  <w:style w:type="paragraph" w:styleId="Heading1">
    <w:name w:val="heading 1"/>
    <w:basedOn w:val="Normal"/>
    <w:next w:val="Normal"/>
    <w:link w:val="Heading1Char"/>
    <w:uiPriority w:val="9"/>
    <w:qFormat/>
    <w:rsid w:val="000C517B"/>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0C517B"/>
    <w:pPr>
      <w:keepNext/>
      <w:keepLines/>
      <w:spacing w:before="160" w:after="80"/>
      <w:outlineLvl w:val="1"/>
    </w:pPr>
    <w:rPr>
      <w:rFonts w:asciiTheme="majorHAnsi" w:eastAsiaTheme="majorEastAsia" w:hAnsiTheme="majorHAnsi" w:cstheme="majorBidi"/>
      <w:color w:val="2E74B5"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0C517B"/>
    <w:pPr>
      <w:keepNext/>
      <w:keepLines/>
      <w:spacing w:before="160" w:after="80"/>
      <w:outlineLvl w:val="2"/>
    </w:pPr>
    <w:rPr>
      <w:rFonts w:eastAsiaTheme="majorEastAsia" w:cstheme="majorBidi"/>
      <w:color w:val="2E74B5"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0C517B"/>
    <w:pPr>
      <w:keepNext/>
      <w:keepLines/>
      <w:spacing w:before="80" w:after="40"/>
      <w:outlineLvl w:val="3"/>
    </w:pPr>
    <w:rPr>
      <w:rFonts w:eastAsiaTheme="majorEastAsia" w:cstheme="majorBidi"/>
      <w:i/>
      <w:iCs/>
      <w:color w:val="2E74B5" w:themeColor="accent1" w:themeShade="BF"/>
      <w:kern w:val="2"/>
      <w:lang w:val="en-US" w:eastAsia="zh-CN"/>
      <w14:ligatures w14:val="standardContextual"/>
    </w:rPr>
  </w:style>
  <w:style w:type="paragraph" w:styleId="Heading5">
    <w:name w:val="heading 5"/>
    <w:basedOn w:val="Normal"/>
    <w:next w:val="Normal"/>
    <w:link w:val="Heading5Char"/>
    <w:uiPriority w:val="9"/>
    <w:semiHidden/>
    <w:unhideWhenUsed/>
    <w:qFormat/>
    <w:rsid w:val="000C517B"/>
    <w:pPr>
      <w:keepNext/>
      <w:keepLines/>
      <w:spacing w:before="80" w:after="40"/>
      <w:outlineLvl w:val="4"/>
    </w:pPr>
    <w:rPr>
      <w:rFonts w:eastAsiaTheme="majorEastAsia" w:cstheme="majorBidi"/>
      <w:color w:val="2E74B5" w:themeColor="accent1" w:themeShade="BF"/>
      <w:kern w:val="2"/>
      <w:lang w:val="en-US" w:eastAsia="zh-CN"/>
      <w14:ligatures w14:val="standardContextual"/>
    </w:rPr>
  </w:style>
  <w:style w:type="paragraph" w:styleId="Heading6">
    <w:name w:val="heading 6"/>
    <w:basedOn w:val="Normal"/>
    <w:next w:val="Normal"/>
    <w:link w:val="Heading6Char"/>
    <w:uiPriority w:val="9"/>
    <w:semiHidden/>
    <w:unhideWhenUsed/>
    <w:qFormat/>
    <w:rsid w:val="000C517B"/>
    <w:pPr>
      <w:keepNext/>
      <w:keepLines/>
      <w:spacing w:before="40" w:after="0"/>
      <w:outlineLvl w:val="5"/>
    </w:pPr>
    <w:rPr>
      <w:rFonts w:eastAsiaTheme="majorEastAsia" w:cstheme="majorBidi"/>
      <w:i/>
      <w:iCs/>
      <w:color w:val="595959" w:themeColor="text1" w:themeTint="A6"/>
      <w:kern w:val="2"/>
      <w:lang w:val="en-US" w:eastAsia="zh-CN"/>
      <w14:ligatures w14:val="standardContextual"/>
    </w:rPr>
  </w:style>
  <w:style w:type="paragraph" w:styleId="Heading7">
    <w:name w:val="heading 7"/>
    <w:basedOn w:val="Normal"/>
    <w:next w:val="Normal"/>
    <w:link w:val="Heading7Char"/>
    <w:uiPriority w:val="9"/>
    <w:semiHidden/>
    <w:unhideWhenUsed/>
    <w:qFormat/>
    <w:rsid w:val="000C517B"/>
    <w:pPr>
      <w:keepNext/>
      <w:keepLines/>
      <w:spacing w:before="40" w:after="0"/>
      <w:outlineLvl w:val="6"/>
    </w:pPr>
    <w:rPr>
      <w:rFonts w:eastAsiaTheme="majorEastAsia" w:cstheme="majorBidi"/>
      <w:color w:val="595959" w:themeColor="text1" w:themeTint="A6"/>
      <w:kern w:val="2"/>
      <w:lang w:val="en-US" w:eastAsia="zh-CN"/>
      <w14:ligatures w14:val="standardContextual"/>
    </w:rPr>
  </w:style>
  <w:style w:type="paragraph" w:styleId="Heading8">
    <w:name w:val="heading 8"/>
    <w:basedOn w:val="Normal"/>
    <w:next w:val="Normal"/>
    <w:link w:val="Heading8Char"/>
    <w:uiPriority w:val="9"/>
    <w:semiHidden/>
    <w:unhideWhenUsed/>
    <w:qFormat/>
    <w:rsid w:val="000C517B"/>
    <w:pPr>
      <w:keepNext/>
      <w:keepLines/>
      <w:spacing w:after="0"/>
      <w:outlineLvl w:val="7"/>
    </w:pPr>
    <w:rPr>
      <w:rFonts w:eastAsiaTheme="majorEastAsia" w:cstheme="majorBidi"/>
      <w:i/>
      <w:iCs/>
      <w:color w:val="272727" w:themeColor="text1" w:themeTint="D8"/>
      <w:kern w:val="2"/>
      <w:lang w:val="en-US" w:eastAsia="zh-CN"/>
      <w14:ligatures w14:val="standardContextual"/>
    </w:rPr>
  </w:style>
  <w:style w:type="paragraph" w:styleId="Heading9">
    <w:name w:val="heading 9"/>
    <w:basedOn w:val="Normal"/>
    <w:next w:val="Normal"/>
    <w:link w:val="Heading9Char"/>
    <w:uiPriority w:val="9"/>
    <w:semiHidden/>
    <w:unhideWhenUsed/>
    <w:qFormat/>
    <w:rsid w:val="000C517B"/>
    <w:pPr>
      <w:keepNext/>
      <w:keepLines/>
      <w:spacing w:after="0"/>
      <w:outlineLvl w:val="8"/>
    </w:pPr>
    <w:rPr>
      <w:rFonts w:eastAsiaTheme="majorEastAsia" w:cstheme="majorBidi"/>
      <w:color w:val="272727" w:themeColor="text1" w:themeTint="D8"/>
      <w:kern w:val="2"/>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1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51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517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51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51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5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17B"/>
    <w:rPr>
      <w:rFonts w:eastAsiaTheme="majorEastAsia" w:cstheme="majorBidi"/>
      <w:color w:val="272727" w:themeColor="text1" w:themeTint="D8"/>
    </w:rPr>
  </w:style>
  <w:style w:type="paragraph" w:styleId="Title">
    <w:name w:val="Title"/>
    <w:basedOn w:val="Normal"/>
    <w:next w:val="Normal"/>
    <w:link w:val="TitleChar"/>
    <w:uiPriority w:val="10"/>
    <w:qFormat/>
    <w:rsid w:val="000C517B"/>
    <w:pPr>
      <w:spacing w:after="80" w:line="240" w:lineRule="auto"/>
      <w:contextualSpacing/>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0C5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17B"/>
    <w:pPr>
      <w:numPr>
        <w:ilvl w:val="1"/>
      </w:numPr>
    </w:pPr>
    <w:rPr>
      <w:rFonts w:eastAsiaTheme="majorEastAsia"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0C5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17B"/>
    <w:pPr>
      <w:spacing w:before="160"/>
      <w:jc w:val="center"/>
    </w:pPr>
    <w:rPr>
      <w:rFonts w:eastAsiaTheme="minorEastAsia"/>
      <w:i/>
      <w:iCs/>
      <w:color w:val="404040" w:themeColor="text1" w:themeTint="BF"/>
      <w:kern w:val="2"/>
      <w:lang w:val="en-US" w:eastAsia="zh-CN"/>
      <w14:ligatures w14:val="standardContextual"/>
    </w:rPr>
  </w:style>
  <w:style w:type="character" w:customStyle="1" w:styleId="QuoteChar">
    <w:name w:val="Quote Char"/>
    <w:basedOn w:val="DefaultParagraphFont"/>
    <w:link w:val="Quote"/>
    <w:uiPriority w:val="29"/>
    <w:rsid w:val="000C517B"/>
    <w:rPr>
      <w:i/>
      <w:iCs/>
      <w:color w:val="404040" w:themeColor="text1" w:themeTint="BF"/>
    </w:rPr>
  </w:style>
  <w:style w:type="paragraph" w:styleId="ListParagraph">
    <w:name w:val="List Paragraph"/>
    <w:basedOn w:val="Normal"/>
    <w:uiPriority w:val="34"/>
    <w:qFormat/>
    <w:rsid w:val="000C517B"/>
    <w:pPr>
      <w:ind w:left="720"/>
      <w:contextualSpacing/>
    </w:pPr>
    <w:rPr>
      <w:rFonts w:eastAsiaTheme="minorEastAsia"/>
      <w:kern w:val="2"/>
      <w:lang w:val="en-US" w:eastAsia="zh-CN"/>
      <w14:ligatures w14:val="standardContextual"/>
    </w:rPr>
  </w:style>
  <w:style w:type="character" w:styleId="IntenseEmphasis">
    <w:name w:val="Intense Emphasis"/>
    <w:basedOn w:val="DefaultParagraphFont"/>
    <w:uiPriority w:val="21"/>
    <w:qFormat/>
    <w:rsid w:val="000C517B"/>
    <w:rPr>
      <w:i/>
      <w:iCs/>
      <w:color w:val="2E74B5" w:themeColor="accent1" w:themeShade="BF"/>
    </w:rPr>
  </w:style>
  <w:style w:type="paragraph" w:styleId="IntenseQuote">
    <w:name w:val="Intense Quote"/>
    <w:basedOn w:val="Normal"/>
    <w:next w:val="Normal"/>
    <w:link w:val="IntenseQuoteChar"/>
    <w:uiPriority w:val="30"/>
    <w:qFormat/>
    <w:rsid w:val="000C517B"/>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kern w:val="2"/>
      <w:lang w:val="en-US" w:eastAsia="zh-CN"/>
      <w14:ligatures w14:val="standardContextual"/>
    </w:rPr>
  </w:style>
  <w:style w:type="character" w:customStyle="1" w:styleId="IntenseQuoteChar">
    <w:name w:val="Intense Quote Char"/>
    <w:basedOn w:val="DefaultParagraphFont"/>
    <w:link w:val="IntenseQuote"/>
    <w:uiPriority w:val="30"/>
    <w:rsid w:val="000C517B"/>
    <w:rPr>
      <w:i/>
      <w:iCs/>
      <w:color w:val="2E74B5" w:themeColor="accent1" w:themeShade="BF"/>
    </w:rPr>
  </w:style>
  <w:style w:type="character" w:styleId="IntenseReference">
    <w:name w:val="Intense Reference"/>
    <w:basedOn w:val="DefaultParagraphFont"/>
    <w:uiPriority w:val="32"/>
    <w:qFormat/>
    <w:rsid w:val="000C517B"/>
    <w:rPr>
      <w:b/>
      <w:bCs/>
      <w:smallCaps/>
      <w:color w:val="2E74B5" w:themeColor="accent1" w:themeShade="BF"/>
      <w:spacing w:val="5"/>
    </w:rPr>
  </w:style>
  <w:style w:type="paragraph" w:styleId="FootnoteText">
    <w:name w:val="footnote text"/>
    <w:basedOn w:val="Normal"/>
    <w:link w:val="FootnoteTextChar"/>
    <w:uiPriority w:val="99"/>
    <w:semiHidden/>
    <w:unhideWhenUsed/>
    <w:rsid w:val="000C51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17B"/>
    <w:rPr>
      <w:rFonts w:eastAsiaTheme="minorHAnsi"/>
      <w:kern w:val="0"/>
      <w:sz w:val="20"/>
      <w:szCs w:val="20"/>
      <w:lang w:val="fr-FR" w:eastAsia="en-US"/>
      <w14:ligatures w14:val="none"/>
    </w:rPr>
  </w:style>
  <w:style w:type="character" w:styleId="FootnoteReference">
    <w:name w:val="footnote reference"/>
    <w:basedOn w:val="DefaultParagraphFont"/>
    <w:uiPriority w:val="99"/>
    <w:semiHidden/>
    <w:unhideWhenUsed/>
    <w:rsid w:val="000C517B"/>
    <w:rPr>
      <w:vertAlign w:val="superscript"/>
    </w:rPr>
  </w:style>
  <w:style w:type="character" w:styleId="Hyperlink">
    <w:name w:val="Hyperlink"/>
    <w:basedOn w:val="DefaultParagraphFont"/>
    <w:uiPriority w:val="99"/>
    <w:unhideWhenUsed/>
    <w:rsid w:val="000C517B"/>
    <w:rPr>
      <w:color w:val="0563C1" w:themeColor="hyperlink"/>
      <w:u w:val="single"/>
    </w:rPr>
  </w:style>
  <w:style w:type="paragraph" w:styleId="Header">
    <w:name w:val="header"/>
    <w:basedOn w:val="Normal"/>
    <w:link w:val="HeaderChar"/>
    <w:uiPriority w:val="99"/>
    <w:unhideWhenUsed/>
    <w:rsid w:val="00621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94B"/>
    <w:rPr>
      <w:rFonts w:eastAsiaTheme="minorHAnsi"/>
      <w:kern w:val="0"/>
      <w:lang w:val="fr-FR" w:eastAsia="en-US"/>
      <w14:ligatures w14:val="none"/>
    </w:rPr>
  </w:style>
  <w:style w:type="paragraph" w:styleId="Footer">
    <w:name w:val="footer"/>
    <w:basedOn w:val="Normal"/>
    <w:link w:val="FooterChar"/>
    <w:uiPriority w:val="99"/>
    <w:unhideWhenUsed/>
    <w:rsid w:val="00621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94B"/>
    <w:rPr>
      <w:rFonts w:eastAsiaTheme="minorHAnsi"/>
      <w:kern w:val="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Publications/WP/Issues/2019/05/02/Global-Fossil-Fuel-Subsidies-Remain-Large-An-Update-Based-on-Country-Level-Estimates-46509?utm" TargetMode="External"/><Relationship Id="rId3" Type="http://schemas.openxmlformats.org/officeDocument/2006/relationships/hyperlink" Target="https://www.siyassa.org.eg/News/18402.aspx" TargetMode="External"/><Relationship Id="rId7" Type="http://schemas.openxmlformats.org/officeDocument/2006/relationships/hyperlink" Target="https://influencemap.org/pressrelease/SFDR-Report-30915" TargetMode="External"/><Relationship Id="rId2" Type="http://schemas.openxmlformats.org/officeDocument/2006/relationships/hyperlink" Target="https://hbrarabic.com/%D8%A7%D9%84%D9%85%D9%81%D8%A7%D9%87%D9%8A%D9%85-%D8%A7%D9%84%D8%A5%D8%AF%D8%A7%D8%B1%D9%8A%D8%A9/%D8%A7%D9%84%D8%A7%D8%B3%D8%AA%D8%AB%D9%85%D8%A7%D8%B1-%D8%A7%D9%84%D8%A3%D8%AE%D8%B6%D8%B1/" TargetMode="External"/><Relationship Id="rId1" Type="http://schemas.openxmlformats.org/officeDocument/2006/relationships/hyperlink" Target="https://ar.wikipedia.org/wiki/%D8%AA%D8%B9%D9%88%D9%8A%D8%B6_%D8%A7%D9%84%D9%83%D8%B1%D8%A8%D9%88%D9%86" TargetMode="External"/><Relationship Id="rId6" Type="http://schemas.openxmlformats.org/officeDocument/2006/relationships/hyperlink" Target="https://sci-ne.com/article/story_1967" TargetMode="External"/><Relationship Id="rId5" Type="http://schemas.openxmlformats.org/officeDocument/2006/relationships/hyperlink" Target="https://sigmaearth.com/ar/%D8%A8%D8%B1%D8%A7%D9%85%D8%AC-%D8%A7%D9%84%D8%B7%D8%A7%D9%82%D8%A9-%D8%A7%D9%84%D9%86%D8%B8%D9%8A%D9%81%D8%A9-%D9%81%D9%8A-%D8%A7%D9%84%D9%88%D9%84%D8%A7%D9%8A%D8%A7%D8%AA-%D8%A7%D9%84%D9%85%D8%AA%D8%AD%D8%AF%D8%A9-%D8%A7%D9%84%D8%A3%D9%85%D8%B1%D9%8A%D9%83%D9%8A%D8%A9/" TargetMode="External"/><Relationship Id="rId4" Type="http://schemas.openxmlformats.org/officeDocument/2006/relationships/hyperlink" Target="https://nok6a.net/%D8%A7%D9%84%D8%B5%D9%8A%D9%86-%D8%AA%D8%B9%D8%B2%D8%B2-%D8%A7%D8%B3%D8%AA%D8%AB%D9%85%D8%A7%D8%B1%D8%A7%D8%AA%D9%87%D8%A7-%D9%81%D9%8A-%D8%A7%D9%84%D8%B7%D8%A7%D9%82%D8%A9-%D8%A7%D9%84%D9%85%D8%AA/" TargetMode="External"/><Relationship Id="rId9" Type="http://schemas.openxmlformats.org/officeDocument/2006/relationships/hyperlink" Target="https://greenfue.com/%D9%85%D8%A7%D8%B0%D8%A7-%D9%8A%D8%B9%D9%86%D9%8A-%D8%A7%D9%84%D8%AD%D9%8A%D8%A7%D8%AF-%D8%A7%D9%84%D9%83%D8%B1%D8%A8%D9%88%D9%86%D9%8A-%D9%88%D8%B5%D8%A7%D9%81%D9%8A-%D8%A7%D9%84%D8%B5%D9%81%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3557</Characters>
  <Application>Microsoft Office Word</Application>
  <DocSecurity>0</DocSecurity>
  <Lines>29</Lines>
  <Paragraphs>8</Paragraphs>
  <ScaleCrop>false</ScaleCrop>
  <Company>RLS</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Louati, Imen</dc:creator>
  <cp:keywords/>
  <dc:description/>
  <cp:lastModifiedBy>Ben Zina, Rim</cp:lastModifiedBy>
  <cp:revision>4</cp:revision>
  <dcterms:created xsi:type="dcterms:W3CDTF">2025-11-17T14:31:00Z</dcterms:created>
  <dcterms:modified xsi:type="dcterms:W3CDTF">2025-11-18T15:17:00Z</dcterms:modified>
</cp:coreProperties>
</file>