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C9" w:rsidRDefault="007B33C9" w:rsidP="0024141C">
      <w:pPr>
        <w:bidi w:val="0"/>
        <w:rPr>
          <w:rFonts w:ascii="Arial Narrow" w:hAnsi="Arial Narrow"/>
          <w:sz w:val="26"/>
        </w:rPr>
      </w:pPr>
    </w:p>
    <w:p w:rsidR="007B33C9" w:rsidRDefault="007B33C9" w:rsidP="007B33C9">
      <w:pPr>
        <w:bidi w:val="0"/>
        <w:rPr>
          <w:rFonts w:ascii="Arial Narrow" w:hAnsi="Arial Narrow"/>
          <w:sz w:val="26"/>
        </w:rPr>
      </w:pPr>
    </w:p>
    <w:p w:rsidR="007B33C9" w:rsidRDefault="007B33C9" w:rsidP="007B33C9">
      <w:pPr>
        <w:bidi w:val="0"/>
        <w:rPr>
          <w:rFonts w:ascii="Arial Narrow" w:hAnsi="Arial Narrow"/>
          <w:sz w:val="26"/>
        </w:rPr>
      </w:pPr>
    </w:p>
    <w:p w:rsidR="007B33C9" w:rsidRDefault="007B33C9" w:rsidP="007B33C9">
      <w:pPr>
        <w:bidi w:val="0"/>
        <w:rPr>
          <w:rFonts w:ascii="Arial Narrow" w:hAnsi="Arial Narrow"/>
          <w:sz w:val="26"/>
        </w:rPr>
      </w:pPr>
    </w:p>
    <w:p w:rsidR="007B33C9" w:rsidRDefault="007B33C9" w:rsidP="007B33C9">
      <w:pPr>
        <w:bidi w:val="0"/>
        <w:rPr>
          <w:rFonts w:ascii="Arial Narrow" w:hAnsi="Arial Narrow"/>
          <w:sz w:val="26"/>
        </w:rPr>
      </w:pPr>
    </w:p>
    <w:p w:rsidR="007B33C9" w:rsidRDefault="007B33C9" w:rsidP="007B33C9">
      <w:pPr>
        <w:bidi w:val="0"/>
        <w:rPr>
          <w:rFonts w:ascii="Arial Narrow" w:hAnsi="Arial Narrow"/>
          <w:sz w:val="26"/>
        </w:rPr>
      </w:pPr>
    </w:p>
    <w:p w:rsidR="007B33C9" w:rsidRDefault="007B33C9" w:rsidP="007B33C9">
      <w:pPr>
        <w:bidi w:val="0"/>
        <w:rPr>
          <w:rFonts w:ascii="Arial Narrow" w:hAnsi="Arial Narrow"/>
          <w:sz w:val="26"/>
        </w:rPr>
      </w:pPr>
    </w:p>
    <w:p w:rsidR="007B33C9" w:rsidRDefault="007B33C9" w:rsidP="007B33C9"/>
    <w:p w:rsidR="007B33C9" w:rsidRDefault="007B33C9" w:rsidP="007B33C9"/>
    <w:p w:rsidR="007B33C9" w:rsidRPr="007B33C9" w:rsidRDefault="007B33C9" w:rsidP="007B33C9"/>
    <w:p w:rsidR="007B33C9" w:rsidRDefault="007B33C9" w:rsidP="007B33C9">
      <w:pPr>
        <w:pStyle w:val="Heading2"/>
        <w:rPr>
          <w:rFonts w:ascii="BIAAHZ+SAPFuturaCaLight0166.688" w:hAnsi="BIAAHZ+SAPFuturaCaLight0166.688"/>
          <w:caps/>
          <w:sz w:val="36"/>
          <w:szCs w:val="60"/>
        </w:rPr>
      </w:pPr>
    </w:p>
    <w:p w:rsidR="007B33C9" w:rsidRDefault="007B33C9" w:rsidP="007B33C9">
      <w:pPr>
        <w:pStyle w:val="Heading2"/>
        <w:rPr>
          <w:rFonts w:ascii="BIAAHZ+SAPFuturaCaLight0166.688" w:hAnsi="BIAAHZ+SAPFuturaCaLight0166.688"/>
          <w:caps/>
          <w:sz w:val="36"/>
          <w:szCs w:val="60"/>
        </w:rPr>
      </w:pPr>
    </w:p>
    <w:p w:rsidR="00937949" w:rsidRDefault="007B33C9" w:rsidP="006C4C7F">
      <w:pPr>
        <w:bidi w:val="0"/>
        <w:spacing w:before="120" w:after="120" w:line="360" w:lineRule="auto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Mission d’a</w:t>
      </w:r>
      <w:r w:rsidR="00D87BF9">
        <w:rPr>
          <w:b/>
          <w:bCs/>
          <w:smallCaps/>
          <w:sz w:val="40"/>
          <w:szCs w:val="40"/>
        </w:rPr>
        <w:t xml:space="preserve">ssistance </w:t>
      </w:r>
      <w:r w:rsidR="00874D8D">
        <w:rPr>
          <w:b/>
          <w:bCs/>
          <w:smallCaps/>
          <w:sz w:val="40"/>
          <w:szCs w:val="40"/>
        </w:rPr>
        <w:t xml:space="preserve">comptable </w:t>
      </w:r>
      <w:r w:rsidR="00937949">
        <w:rPr>
          <w:b/>
          <w:bCs/>
          <w:smallCaps/>
          <w:sz w:val="40"/>
          <w:szCs w:val="40"/>
        </w:rPr>
        <w:t>et fiscale</w:t>
      </w:r>
    </w:p>
    <w:p w:rsidR="007B33C9" w:rsidRDefault="00874D8D" w:rsidP="00937949">
      <w:pPr>
        <w:bidi w:val="0"/>
        <w:spacing w:before="120" w:after="120" w:line="360" w:lineRule="auto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2024-2025-2026</w:t>
      </w:r>
    </w:p>
    <w:p w:rsidR="007B33C9" w:rsidRDefault="007B33C9" w:rsidP="007B33C9">
      <w:pPr>
        <w:bidi w:val="0"/>
        <w:spacing w:before="120" w:after="120" w:line="360" w:lineRule="auto"/>
        <w:jc w:val="right"/>
        <w:rPr>
          <w:b/>
          <w:bCs/>
          <w:smallCaps/>
          <w:sz w:val="40"/>
          <w:szCs w:val="40"/>
        </w:rPr>
      </w:pPr>
    </w:p>
    <w:p w:rsidR="007B33C9" w:rsidRDefault="007B33C9" w:rsidP="007B33C9">
      <w:pPr>
        <w:bidi w:val="0"/>
        <w:spacing w:before="120" w:after="120" w:line="360" w:lineRule="auto"/>
        <w:jc w:val="right"/>
        <w:rPr>
          <w:b/>
          <w:bCs/>
          <w:smallCaps/>
          <w:sz w:val="40"/>
          <w:szCs w:val="40"/>
        </w:rPr>
      </w:pPr>
    </w:p>
    <w:p w:rsidR="007B33C9" w:rsidRDefault="007B33C9" w:rsidP="007B33C9">
      <w:pPr>
        <w:bidi w:val="0"/>
        <w:spacing w:before="120" w:after="120" w:line="360" w:lineRule="auto"/>
        <w:jc w:val="right"/>
        <w:rPr>
          <w:b/>
          <w:bCs/>
          <w:smallCaps/>
          <w:sz w:val="40"/>
          <w:szCs w:val="40"/>
        </w:rPr>
      </w:pPr>
    </w:p>
    <w:p w:rsidR="007B33C9" w:rsidRPr="006C4C7F" w:rsidRDefault="006C4C7F" w:rsidP="006C4C7F">
      <w:pPr>
        <w:bidi w:val="0"/>
        <w:spacing w:before="120" w:after="120" w:line="360" w:lineRule="auto"/>
        <w:jc w:val="center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6C4C7F">
        <w:rPr>
          <w:b/>
          <w:bCs/>
          <w:color w:val="000000"/>
          <w:sz w:val="32"/>
          <w:szCs w:val="32"/>
          <w:u w:val="single"/>
          <w:shd w:val="clear" w:color="auto" w:fill="FFFFFF"/>
        </w:rPr>
        <w:t>Termes de Référence</w:t>
      </w:r>
    </w:p>
    <w:p w:rsidR="007B33C9" w:rsidRDefault="007B33C9" w:rsidP="007B33C9">
      <w:pPr>
        <w:spacing w:before="120" w:after="120" w:line="360" w:lineRule="auto"/>
        <w:jc w:val="center"/>
        <w:rPr>
          <w:b/>
          <w:bCs/>
          <w:sz w:val="40"/>
          <w:szCs w:val="40"/>
          <w:u w:val="single"/>
        </w:rPr>
      </w:pPr>
    </w:p>
    <w:p w:rsidR="003550EB" w:rsidRDefault="003550EB">
      <w:pPr>
        <w:overflowPunct/>
        <w:autoSpaceDE/>
        <w:autoSpaceDN/>
        <w:bidi w:val="0"/>
        <w:adjustRightInd/>
        <w:textAlignment w:val="auto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br w:type="page"/>
      </w:r>
    </w:p>
    <w:p w:rsidR="00691A9D" w:rsidRPr="00FA4E5D" w:rsidRDefault="00C669F0" w:rsidP="00D8592D">
      <w:pPr>
        <w:pStyle w:val="ListParagraph"/>
        <w:tabs>
          <w:tab w:val="left" w:pos="426"/>
        </w:tabs>
        <w:bidi w:val="0"/>
        <w:spacing w:before="120" w:after="120" w:line="360" w:lineRule="auto"/>
        <w:ind w:left="0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 w:rsidRPr="00FA4E5D">
        <w:rPr>
          <w:rFonts w:ascii="Arial Narrow" w:hAnsi="Arial Narrow"/>
          <w:b/>
          <w:bCs/>
          <w:sz w:val="28"/>
          <w:szCs w:val="28"/>
          <w:u w:val="single"/>
        </w:rPr>
        <w:lastRenderedPageBreak/>
        <w:t xml:space="preserve">Contexte </w:t>
      </w:r>
      <w:r w:rsidR="007531B1" w:rsidRPr="00FA4E5D">
        <w:rPr>
          <w:rFonts w:ascii="Arial Narrow" w:hAnsi="Arial Narrow"/>
          <w:b/>
          <w:bCs/>
          <w:sz w:val="28"/>
          <w:szCs w:val="28"/>
          <w:u w:val="single"/>
        </w:rPr>
        <w:t xml:space="preserve">de la </w:t>
      </w:r>
      <w:r w:rsidR="006557BF" w:rsidRPr="00FA4E5D">
        <w:rPr>
          <w:rFonts w:ascii="Arial Narrow" w:hAnsi="Arial Narrow"/>
          <w:b/>
          <w:bCs/>
          <w:sz w:val="28"/>
          <w:szCs w:val="28"/>
          <w:u w:val="single"/>
        </w:rPr>
        <w:t>mission</w:t>
      </w:r>
    </w:p>
    <w:p w:rsidR="00F15133" w:rsidRDefault="00F15133" w:rsidP="00F15133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Fondation </w:t>
      </w:r>
      <w:r w:rsidRPr="00AF335C">
        <w:rPr>
          <w:rFonts w:ascii="Arial Narrow" w:hAnsi="Arial Narrow"/>
          <w:sz w:val="24"/>
          <w:szCs w:val="24"/>
        </w:rPr>
        <w:t xml:space="preserve">Rosa Luxemburg </w:t>
      </w:r>
      <w:r>
        <w:rPr>
          <w:rFonts w:ascii="Arial Narrow" w:hAnsi="Arial Narrow"/>
          <w:sz w:val="24"/>
          <w:szCs w:val="24"/>
        </w:rPr>
        <w:t>–</w:t>
      </w:r>
      <w:r w:rsidRPr="00AF335C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North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Africa</w:t>
      </w:r>
      <w:proofErr w:type="spellEnd"/>
      <w:r w:rsidRPr="00AF335C">
        <w:rPr>
          <w:rFonts w:ascii="Arial Narrow" w:hAnsi="Arial Narrow"/>
          <w:sz w:val="24"/>
          <w:szCs w:val="24"/>
        </w:rPr>
        <w:t xml:space="preserve"> est une association étrangère de droit tunisien régie par les dispositions du décret-loi N° 2011-88 portant organisation des associations.</w:t>
      </w:r>
    </w:p>
    <w:p w:rsidR="006C4C7F" w:rsidRDefault="006C4C7F" w:rsidP="006F008C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6C4C7F">
        <w:rPr>
          <w:rFonts w:ascii="Arial Narrow" w:hAnsi="Arial Narrow"/>
          <w:sz w:val="24"/>
          <w:szCs w:val="24"/>
        </w:rPr>
        <w:t>Souhaitant bénéficier d’un accompagnement professionnel au niveau comptable</w:t>
      </w:r>
      <w:r>
        <w:rPr>
          <w:rFonts w:ascii="Arial Narrow" w:hAnsi="Arial Narrow"/>
          <w:sz w:val="24"/>
          <w:szCs w:val="24"/>
        </w:rPr>
        <w:t xml:space="preserve"> et </w:t>
      </w:r>
      <w:r w:rsidR="00F15133" w:rsidRPr="006C4C7F">
        <w:rPr>
          <w:rFonts w:ascii="Arial Narrow" w:hAnsi="Arial Narrow"/>
          <w:sz w:val="24"/>
          <w:szCs w:val="24"/>
        </w:rPr>
        <w:t>fiscal</w:t>
      </w:r>
      <w:r w:rsidR="00F15133">
        <w:rPr>
          <w:rFonts w:ascii="Arial Narrow" w:hAnsi="Arial Narrow"/>
          <w:sz w:val="24"/>
          <w:szCs w:val="24"/>
        </w:rPr>
        <w:t>, RLS</w:t>
      </w:r>
      <w:r w:rsidRPr="006C4C7F">
        <w:rPr>
          <w:rFonts w:ascii="Arial Narrow" w:hAnsi="Arial Narrow"/>
          <w:sz w:val="24"/>
          <w:szCs w:val="24"/>
        </w:rPr>
        <w:t xml:space="preserve"> compte recourir aux services d’u</w:t>
      </w:r>
      <w:r>
        <w:rPr>
          <w:rFonts w:ascii="Arial Narrow" w:hAnsi="Arial Narrow"/>
          <w:sz w:val="24"/>
          <w:szCs w:val="24"/>
        </w:rPr>
        <w:t xml:space="preserve">n </w:t>
      </w:r>
      <w:r w:rsidR="00F15133">
        <w:rPr>
          <w:rFonts w:ascii="Arial Narrow" w:hAnsi="Arial Narrow"/>
          <w:sz w:val="24"/>
          <w:szCs w:val="24"/>
        </w:rPr>
        <w:t>expert-comptable</w:t>
      </w:r>
      <w:r>
        <w:rPr>
          <w:rFonts w:ascii="Arial Narrow" w:hAnsi="Arial Narrow"/>
          <w:sz w:val="24"/>
          <w:szCs w:val="24"/>
        </w:rPr>
        <w:t xml:space="preserve"> </w:t>
      </w:r>
      <w:r w:rsidR="006F008C">
        <w:rPr>
          <w:rFonts w:ascii="Arial Narrow" w:hAnsi="Arial Narrow"/>
          <w:sz w:val="24"/>
          <w:szCs w:val="24"/>
        </w:rPr>
        <w:t xml:space="preserve">(Le Prestataire) </w:t>
      </w:r>
      <w:r>
        <w:rPr>
          <w:rFonts w:ascii="Arial Narrow" w:hAnsi="Arial Narrow"/>
          <w:sz w:val="24"/>
          <w:szCs w:val="24"/>
        </w:rPr>
        <w:t>afin d’assurer les services objet de ces termes de référence.</w:t>
      </w:r>
    </w:p>
    <w:p w:rsidR="00D8592D" w:rsidRPr="00184588" w:rsidRDefault="00D8592D" w:rsidP="00D8592D">
      <w:pPr>
        <w:pStyle w:val="ListParagraph"/>
        <w:numPr>
          <w:ilvl w:val="0"/>
          <w:numId w:val="13"/>
        </w:numPr>
        <w:tabs>
          <w:tab w:val="left" w:pos="426"/>
        </w:tabs>
        <w:bidi w:val="0"/>
        <w:spacing w:before="120" w:after="120" w:line="360" w:lineRule="auto"/>
        <w:ind w:left="0" w:firstLine="0"/>
        <w:contextualSpacing w:val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Conditions d’éligibilité</w:t>
      </w:r>
    </w:p>
    <w:p w:rsidR="001B643E" w:rsidRDefault="00D8592D" w:rsidP="00D8592D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Pour être éligible, le soumissionnaire doit</w:t>
      </w:r>
      <w:r w:rsidR="001B643E">
        <w:rPr>
          <w:rFonts w:ascii="Arial Narrow" w:hAnsi="Arial Narrow"/>
          <w:sz w:val="24"/>
          <w:szCs w:val="24"/>
        </w:rPr>
        <w:t> :</w:t>
      </w:r>
    </w:p>
    <w:p w:rsidR="001B643E" w:rsidRDefault="001B643E" w:rsidP="001B643E">
      <w:pPr>
        <w:pStyle w:val="ListParagraph"/>
        <w:numPr>
          <w:ilvl w:val="0"/>
          <w:numId w:val="26"/>
        </w:num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Etre une personne physique ou morale membre de l’OECT ;</w:t>
      </w:r>
    </w:p>
    <w:p w:rsidR="001B643E" w:rsidRDefault="001B643E" w:rsidP="001B643E">
      <w:pPr>
        <w:pStyle w:val="ListParagraph"/>
        <w:numPr>
          <w:ilvl w:val="0"/>
          <w:numId w:val="26"/>
        </w:num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Désigner un expert-comptable membre de l’OECT comme res</w:t>
      </w:r>
      <w:r w:rsidR="00F15133">
        <w:rPr>
          <w:rFonts w:ascii="Arial Narrow" w:hAnsi="Arial Narrow"/>
          <w:sz w:val="24"/>
          <w:szCs w:val="24"/>
        </w:rPr>
        <w:t>ponsable de la mission envers la</w:t>
      </w:r>
      <w:r>
        <w:rPr>
          <w:rFonts w:ascii="Arial Narrow" w:hAnsi="Arial Narrow"/>
          <w:sz w:val="24"/>
          <w:szCs w:val="24"/>
        </w:rPr>
        <w:t xml:space="preserve"> </w:t>
      </w:r>
      <w:r w:rsidR="007101F1">
        <w:rPr>
          <w:rFonts w:ascii="Arial Narrow" w:hAnsi="Arial Narrow"/>
          <w:sz w:val="24"/>
          <w:szCs w:val="24"/>
        </w:rPr>
        <w:t xml:space="preserve">Fondation Rosa </w:t>
      </w:r>
      <w:r w:rsidR="00F15133">
        <w:rPr>
          <w:rFonts w:ascii="Arial Narrow" w:hAnsi="Arial Narrow"/>
          <w:sz w:val="24"/>
          <w:szCs w:val="24"/>
        </w:rPr>
        <w:t>Luxemburg</w:t>
      </w:r>
      <w:r>
        <w:rPr>
          <w:rFonts w:ascii="Arial Narrow" w:hAnsi="Arial Narrow"/>
          <w:sz w:val="24"/>
          <w:szCs w:val="24"/>
        </w:rPr>
        <w:t>. Cette condition est satisfaite par la présentation du CV de l’expert-comptable au niveau du dossier administratif ;</w:t>
      </w:r>
    </w:p>
    <w:p w:rsidR="00D04BC5" w:rsidRPr="001B643E" w:rsidRDefault="001B643E" w:rsidP="001B643E">
      <w:pPr>
        <w:pStyle w:val="ListParagraph"/>
        <w:numPr>
          <w:ilvl w:val="0"/>
          <w:numId w:val="26"/>
        </w:num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Communiquer par courrier</w:t>
      </w:r>
      <w:r w:rsidR="002022AA">
        <w:rPr>
          <w:rFonts w:ascii="Arial Narrow" w:hAnsi="Arial Narrow"/>
          <w:sz w:val="24"/>
          <w:szCs w:val="24"/>
        </w:rPr>
        <w:t xml:space="preserve"> postal</w:t>
      </w:r>
      <w:r w:rsidR="007101F1">
        <w:rPr>
          <w:rFonts w:ascii="Arial Narrow" w:hAnsi="Arial Narrow"/>
          <w:sz w:val="24"/>
          <w:szCs w:val="24"/>
        </w:rPr>
        <w:t>, au plus tard le 1</w:t>
      </w:r>
      <w:r w:rsidR="00F15133">
        <w:rPr>
          <w:rFonts w:ascii="Arial Narrow" w:hAnsi="Arial Narrow"/>
          <w:sz w:val="24"/>
          <w:szCs w:val="24"/>
        </w:rPr>
        <w:t>5 Novembre</w:t>
      </w:r>
      <w:r>
        <w:rPr>
          <w:rFonts w:ascii="Arial Narrow" w:hAnsi="Arial Narrow"/>
          <w:sz w:val="24"/>
          <w:szCs w:val="24"/>
        </w:rPr>
        <w:t xml:space="preserve"> 20</w:t>
      </w:r>
      <w:r w:rsidR="00F15133">
        <w:rPr>
          <w:rFonts w:ascii="Arial Narrow" w:hAnsi="Arial Narrow"/>
          <w:sz w:val="24"/>
          <w:szCs w:val="24"/>
        </w:rPr>
        <w:t>23</w:t>
      </w:r>
      <w:r>
        <w:rPr>
          <w:rFonts w:ascii="Arial Narrow" w:hAnsi="Arial Narrow"/>
          <w:sz w:val="24"/>
          <w:szCs w:val="24"/>
        </w:rPr>
        <w:t xml:space="preserve">, au </w:t>
      </w:r>
      <w:r w:rsidR="00F15133">
        <w:rPr>
          <w:rFonts w:ascii="Arial Narrow" w:hAnsi="Arial Narrow"/>
          <w:sz w:val="24"/>
          <w:szCs w:val="24"/>
        </w:rPr>
        <w:t>responsable financier</w:t>
      </w:r>
      <w:r>
        <w:rPr>
          <w:rFonts w:ascii="Arial Narrow" w:hAnsi="Arial Narrow"/>
          <w:sz w:val="24"/>
          <w:szCs w:val="24"/>
        </w:rPr>
        <w:t xml:space="preserve"> d</w:t>
      </w:r>
      <w:r w:rsidR="00F15133">
        <w:rPr>
          <w:rFonts w:ascii="Arial Narrow" w:hAnsi="Arial Narrow"/>
          <w:sz w:val="24"/>
          <w:szCs w:val="24"/>
        </w:rPr>
        <w:t xml:space="preserve">e la Fondation Rosa Luxemburg </w:t>
      </w:r>
      <w:r>
        <w:rPr>
          <w:rFonts w:ascii="Arial Narrow" w:hAnsi="Arial Narrow"/>
          <w:sz w:val="24"/>
          <w:szCs w:val="24"/>
        </w:rPr>
        <w:t xml:space="preserve">un dossier administratif et un dossier financier tel que détaillé ci-après : </w:t>
      </w:r>
    </w:p>
    <w:p w:rsidR="00D8592D" w:rsidRPr="00D04BC5" w:rsidRDefault="00D04BC5" w:rsidP="00D04BC5">
      <w:pPr>
        <w:bidi w:val="0"/>
        <w:spacing w:before="120" w:after="120" w:line="360" w:lineRule="auto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D04BC5">
        <w:rPr>
          <w:rFonts w:ascii="Arial Narrow" w:hAnsi="Arial Narrow"/>
          <w:i/>
          <w:iCs/>
          <w:sz w:val="24"/>
          <w:szCs w:val="24"/>
          <w:u w:val="single"/>
        </w:rPr>
        <w:t>Le dossier administratif</w:t>
      </w:r>
    </w:p>
    <w:p w:rsidR="00D8592D" w:rsidRDefault="00D8592D" w:rsidP="00D8592D">
      <w:pPr>
        <w:pStyle w:val="ListParagraph"/>
        <w:numPr>
          <w:ilvl w:val="0"/>
          <w:numId w:val="25"/>
        </w:num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F30437">
        <w:rPr>
          <w:rFonts w:ascii="Arial Narrow" w:hAnsi="Arial Narrow"/>
          <w:sz w:val="24"/>
          <w:szCs w:val="24"/>
        </w:rPr>
        <w:t>CV de l’Expert-Co</w:t>
      </w:r>
      <w:r w:rsidR="00B05E25">
        <w:rPr>
          <w:rFonts w:ascii="Arial Narrow" w:hAnsi="Arial Narrow"/>
          <w:sz w:val="24"/>
          <w:szCs w:val="24"/>
        </w:rPr>
        <w:t>mptable en charge de la mission faisant apparaitre son expérience dans le domaine de la comptabilité des associations.</w:t>
      </w:r>
    </w:p>
    <w:p w:rsidR="00D8592D" w:rsidRDefault="00D8592D" w:rsidP="00D8592D">
      <w:pPr>
        <w:pStyle w:val="ListParagraph"/>
        <w:numPr>
          <w:ilvl w:val="0"/>
          <w:numId w:val="25"/>
        </w:num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Carte d’identification fiscale</w:t>
      </w:r>
    </w:p>
    <w:p w:rsidR="00D8592D" w:rsidRDefault="00D8592D" w:rsidP="00D8592D">
      <w:pPr>
        <w:pStyle w:val="ListParagraph"/>
        <w:numPr>
          <w:ilvl w:val="0"/>
          <w:numId w:val="25"/>
        </w:num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Extrait du registre national des entreprises si le consultant est une société.</w:t>
      </w:r>
    </w:p>
    <w:p w:rsidR="00D04BC5" w:rsidRPr="00F30437" w:rsidRDefault="00D04BC5" w:rsidP="00D04BC5">
      <w:pPr>
        <w:pStyle w:val="ListParagraph"/>
        <w:numPr>
          <w:ilvl w:val="0"/>
          <w:numId w:val="25"/>
        </w:num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 exemplaire du document « termes de référence » paraphé à chaque page et portant signature et cachet dans la dernière page.</w:t>
      </w:r>
    </w:p>
    <w:p w:rsidR="00D04BC5" w:rsidRPr="00D04BC5" w:rsidRDefault="00D04BC5" w:rsidP="00D04BC5">
      <w:pPr>
        <w:bidi w:val="0"/>
        <w:spacing w:before="120" w:after="120" w:line="360" w:lineRule="auto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D04BC5">
        <w:rPr>
          <w:rFonts w:ascii="Arial Narrow" w:hAnsi="Arial Narrow"/>
          <w:i/>
          <w:iCs/>
          <w:sz w:val="24"/>
          <w:szCs w:val="24"/>
          <w:u w:val="single"/>
        </w:rPr>
        <w:t xml:space="preserve">Le dossier </w:t>
      </w:r>
      <w:r>
        <w:rPr>
          <w:rFonts w:ascii="Arial Narrow" w:hAnsi="Arial Narrow"/>
          <w:i/>
          <w:iCs/>
          <w:sz w:val="24"/>
          <w:szCs w:val="24"/>
          <w:u w:val="single"/>
        </w:rPr>
        <w:t>financier</w:t>
      </w:r>
    </w:p>
    <w:p w:rsidR="00D04BC5" w:rsidRDefault="00D04BC5" w:rsidP="00D04BC5">
      <w:pPr>
        <w:pStyle w:val="ListParagraph"/>
        <w:numPr>
          <w:ilvl w:val="0"/>
          <w:numId w:val="25"/>
        </w:num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D04BC5">
        <w:rPr>
          <w:rFonts w:ascii="Arial Narrow" w:hAnsi="Arial Narrow"/>
          <w:sz w:val="24"/>
          <w:szCs w:val="24"/>
        </w:rPr>
        <w:t xml:space="preserve">Une offre de prix </w:t>
      </w:r>
      <w:r>
        <w:rPr>
          <w:rFonts w:ascii="Arial Narrow" w:hAnsi="Arial Narrow"/>
          <w:sz w:val="24"/>
          <w:szCs w:val="24"/>
        </w:rPr>
        <w:t>rédigée conformément à la formule suivante :</w:t>
      </w:r>
    </w:p>
    <w:p w:rsidR="00D8592D" w:rsidRDefault="00D04BC5" w:rsidP="00937949">
      <w:pPr>
        <w:pStyle w:val="ListParagraph"/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« Le montant </w:t>
      </w:r>
      <w:r w:rsidR="001B643E">
        <w:rPr>
          <w:rFonts w:ascii="Arial Narrow" w:hAnsi="Arial Narrow"/>
          <w:sz w:val="24"/>
          <w:szCs w:val="24"/>
        </w:rPr>
        <w:t xml:space="preserve">ferme et non révisable </w:t>
      </w:r>
      <w:r>
        <w:rPr>
          <w:rFonts w:ascii="Arial Narrow" w:hAnsi="Arial Narrow"/>
          <w:sz w:val="24"/>
          <w:szCs w:val="24"/>
        </w:rPr>
        <w:t>des honoraires proposé</w:t>
      </w:r>
      <w:r w:rsidR="008862CA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pour « la mission</w:t>
      </w:r>
      <w:r w:rsidRPr="00D04BC5">
        <w:rPr>
          <w:rFonts w:ascii="Arial Narrow" w:hAnsi="Arial Narrow"/>
          <w:sz w:val="24"/>
          <w:szCs w:val="24"/>
        </w:rPr>
        <w:t xml:space="preserve"> d’assistance </w:t>
      </w:r>
      <w:r w:rsidR="00937949" w:rsidRPr="00D2745D">
        <w:rPr>
          <w:rFonts w:ascii="Arial Narrow" w:hAnsi="Arial Narrow"/>
          <w:sz w:val="24"/>
          <w:szCs w:val="24"/>
        </w:rPr>
        <w:t>comptable et fiscale</w:t>
      </w:r>
      <w:r>
        <w:rPr>
          <w:rFonts w:ascii="Arial Narrow" w:hAnsi="Arial Narrow"/>
          <w:sz w:val="24"/>
          <w:szCs w:val="24"/>
        </w:rPr>
        <w:t xml:space="preserve"> d</w:t>
      </w:r>
      <w:r w:rsidR="0093794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</w:t>
      </w:r>
      <w:r w:rsidR="00B05E25">
        <w:rPr>
          <w:rFonts w:ascii="Arial Narrow" w:hAnsi="Arial Narrow"/>
          <w:sz w:val="24"/>
          <w:szCs w:val="24"/>
        </w:rPr>
        <w:t>RLS</w:t>
      </w:r>
      <w:r>
        <w:rPr>
          <w:rFonts w:ascii="Arial Narrow" w:hAnsi="Arial Narrow"/>
          <w:sz w:val="24"/>
          <w:szCs w:val="24"/>
        </w:rPr>
        <w:t> » objet des termes de référence en date du</w:t>
      </w:r>
      <w:r w:rsidR="00D2745D">
        <w:rPr>
          <w:rFonts w:ascii="Arial Narrow" w:hAnsi="Arial Narrow"/>
          <w:sz w:val="24"/>
          <w:szCs w:val="24"/>
        </w:rPr>
        <w:t xml:space="preserve"> 25 </w:t>
      </w:r>
      <w:r w:rsidR="00D2745D" w:rsidRPr="00D2745D">
        <w:rPr>
          <w:rFonts w:ascii="Arial Narrow" w:hAnsi="Arial Narrow"/>
          <w:sz w:val="24"/>
          <w:szCs w:val="24"/>
        </w:rPr>
        <w:t>Septembre</w:t>
      </w:r>
      <w:r w:rsidR="00F15133" w:rsidRPr="00D2745D">
        <w:rPr>
          <w:rFonts w:ascii="Arial Narrow" w:hAnsi="Arial Narrow"/>
          <w:sz w:val="24"/>
          <w:szCs w:val="24"/>
        </w:rPr>
        <w:t xml:space="preserve"> 2023</w:t>
      </w:r>
      <w:r>
        <w:rPr>
          <w:rFonts w:ascii="Arial Narrow" w:hAnsi="Arial Narrow"/>
          <w:sz w:val="24"/>
          <w:szCs w:val="24"/>
        </w:rPr>
        <w:t xml:space="preserve"> est de : (XXX) dinars </w:t>
      </w:r>
      <w:r w:rsidR="001B643E">
        <w:rPr>
          <w:rFonts w:ascii="Arial Narrow" w:hAnsi="Arial Narrow"/>
          <w:sz w:val="24"/>
          <w:szCs w:val="24"/>
        </w:rPr>
        <w:t xml:space="preserve">hors taxes par mois. </w:t>
      </w:r>
    </w:p>
    <w:p w:rsidR="00920882" w:rsidRDefault="00920882" w:rsidP="00920882">
      <w:pPr>
        <w:pStyle w:val="ListParagraph"/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D8592D" w:rsidRDefault="00D8592D" w:rsidP="00D8592D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D8592D" w:rsidRPr="006C4C7F" w:rsidRDefault="00D8592D" w:rsidP="00D8592D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252FFE" w:rsidRPr="00FA4E5D" w:rsidRDefault="00D8592D" w:rsidP="002F0E0F">
      <w:pPr>
        <w:pStyle w:val="ListParagraph"/>
        <w:numPr>
          <w:ilvl w:val="0"/>
          <w:numId w:val="13"/>
        </w:numPr>
        <w:tabs>
          <w:tab w:val="left" w:pos="426"/>
        </w:tabs>
        <w:bidi w:val="0"/>
        <w:spacing w:before="120" w:after="120" w:line="360" w:lineRule="auto"/>
        <w:ind w:left="0" w:firstLine="0"/>
        <w:contextualSpacing w:val="0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lastRenderedPageBreak/>
        <w:t>Objet et étendue de la mission</w:t>
      </w:r>
    </w:p>
    <w:p w:rsidR="00D164DE" w:rsidRPr="002F0E0F" w:rsidRDefault="006C4C7F" w:rsidP="00D8592D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</w:t>
      </w:r>
      <w:r w:rsidR="00BB283D" w:rsidRPr="002F0E0F">
        <w:rPr>
          <w:rFonts w:ascii="Arial Narrow" w:hAnsi="Arial Narrow"/>
          <w:sz w:val="24"/>
          <w:szCs w:val="24"/>
        </w:rPr>
        <w:t xml:space="preserve"> mission portera sur </w:t>
      </w:r>
      <w:r w:rsidR="00D8592D">
        <w:rPr>
          <w:rFonts w:ascii="Arial Narrow" w:hAnsi="Arial Narrow"/>
          <w:sz w:val="24"/>
          <w:szCs w:val="24"/>
        </w:rPr>
        <w:t>3</w:t>
      </w:r>
      <w:r w:rsidR="00BB283D" w:rsidRPr="002F0E0F">
        <w:rPr>
          <w:rFonts w:ascii="Arial Narrow" w:hAnsi="Arial Narrow"/>
          <w:sz w:val="24"/>
          <w:szCs w:val="24"/>
        </w:rPr>
        <w:t xml:space="preserve"> volets comportant chacun un ensemble de prestations détaillées ci-après.</w:t>
      </w:r>
    </w:p>
    <w:p w:rsidR="0087034B" w:rsidRPr="002F0E0F" w:rsidRDefault="00522530" w:rsidP="002F0E0F">
      <w:pPr>
        <w:pStyle w:val="ListParagraph"/>
        <w:numPr>
          <w:ilvl w:val="0"/>
          <w:numId w:val="6"/>
        </w:numPr>
        <w:tabs>
          <w:tab w:val="left" w:pos="426"/>
        </w:tabs>
        <w:bidi w:val="0"/>
        <w:spacing w:before="120" w:after="120" w:line="360" w:lineRule="auto"/>
        <w:ind w:left="0" w:hanging="11"/>
        <w:contextualSpacing w:val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F0E0F">
        <w:rPr>
          <w:rFonts w:ascii="Arial Narrow" w:hAnsi="Arial Narrow"/>
          <w:b/>
          <w:sz w:val="24"/>
          <w:szCs w:val="24"/>
          <w:u w:val="single"/>
        </w:rPr>
        <w:t>Gestion du dossier comptable</w:t>
      </w:r>
      <w:r w:rsidR="00BA2E00">
        <w:rPr>
          <w:rFonts w:ascii="Arial Narrow" w:hAnsi="Arial Narrow"/>
          <w:b/>
          <w:sz w:val="24"/>
          <w:szCs w:val="24"/>
          <w:u w:val="single"/>
        </w:rPr>
        <w:t xml:space="preserve"> pour les </w:t>
      </w:r>
      <w:r w:rsidR="007E7B24">
        <w:rPr>
          <w:rFonts w:ascii="Arial Narrow" w:hAnsi="Arial Narrow"/>
          <w:b/>
          <w:sz w:val="24"/>
          <w:szCs w:val="24"/>
          <w:u w:val="single"/>
        </w:rPr>
        <w:t>année 2024-2025-2026</w:t>
      </w:r>
    </w:p>
    <w:p w:rsidR="0024141C" w:rsidRPr="00217390" w:rsidRDefault="0024141C" w:rsidP="00217390">
      <w:pPr>
        <w:pStyle w:val="ListParagraph"/>
        <w:numPr>
          <w:ilvl w:val="1"/>
          <w:numId w:val="23"/>
        </w:numPr>
        <w:tabs>
          <w:tab w:val="left" w:pos="426"/>
        </w:tabs>
        <w:bidi w:val="0"/>
        <w:spacing w:before="120" w:after="120" w:line="360" w:lineRule="auto"/>
        <w:jc w:val="both"/>
        <w:rPr>
          <w:rFonts w:ascii="Arial Narrow" w:hAnsi="Arial Narrow"/>
          <w:bCs/>
          <w:i/>
          <w:iCs/>
          <w:sz w:val="24"/>
          <w:szCs w:val="24"/>
          <w:u w:val="single"/>
        </w:rPr>
      </w:pPr>
      <w:r w:rsidRPr="00217390">
        <w:rPr>
          <w:rFonts w:ascii="Arial Narrow" w:hAnsi="Arial Narrow"/>
          <w:bCs/>
          <w:i/>
          <w:iCs/>
          <w:sz w:val="24"/>
          <w:szCs w:val="24"/>
          <w:u w:val="single"/>
        </w:rPr>
        <w:t>Tenue de la co</w:t>
      </w:r>
      <w:r w:rsidR="00CF3847" w:rsidRPr="00217390">
        <w:rPr>
          <w:rFonts w:ascii="Arial Narrow" w:hAnsi="Arial Narrow"/>
          <w:bCs/>
          <w:i/>
          <w:iCs/>
          <w:sz w:val="24"/>
          <w:szCs w:val="24"/>
          <w:u w:val="single"/>
        </w:rPr>
        <w:t>mp</w:t>
      </w:r>
      <w:r w:rsidR="006557BF" w:rsidRPr="00217390">
        <w:rPr>
          <w:rFonts w:ascii="Arial Narrow" w:hAnsi="Arial Narrow"/>
          <w:bCs/>
          <w:i/>
          <w:iCs/>
          <w:sz w:val="24"/>
          <w:szCs w:val="24"/>
          <w:u w:val="single"/>
        </w:rPr>
        <w:t>tabilité</w:t>
      </w:r>
      <w:r w:rsidR="00A01C40" w:rsidRPr="00217390">
        <w:rPr>
          <w:rFonts w:ascii="Arial Narrow" w:hAnsi="Arial Narrow"/>
          <w:bCs/>
          <w:i/>
          <w:iCs/>
          <w:sz w:val="24"/>
          <w:szCs w:val="24"/>
          <w:u w:val="single"/>
        </w:rPr>
        <w:t xml:space="preserve"> générale</w:t>
      </w:r>
    </w:p>
    <w:p w:rsidR="0024141C" w:rsidRPr="002F0E0F" w:rsidRDefault="0024141C" w:rsidP="00D8592D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 xml:space="preserve">Ce volet consiste en l’enregistrement comptable exhaustif des opérations effectuées par </w:t>
      </w:r>
      <w:r w:rsidR="002043FB" w:rsidRPr="002F0E0F">
        <w:rPr>
          <w:rFonts w:ascii="Arial Narrow" w:hAnsi="Arial Narrow"/>
          <w:b/>
          <w:bCs/>
          <w:sz w:val="24"/>
          <w:szCs w:val="24"/>
        </w:rPr>
        <w:t>L</w:t>
      </w:r>
      <w:r w:rsidR="00BA2E00">
        <w:rPr>
          <w:rFonts w:ascii="Arial Narrow" w:hAnsi="Arial Narrow"/>
          <w:b/>
          <w:bCs/>
          <w:sz w:val="24"/>
          <w:szCs w:val="24"/>
        </w:rPr>
        <w:t>a Fondation Rosa Luxemburg</w:t>
      </w:r>
      <w:r w:rsidR="00CE0589" w:rsidRPr="002F0E0F">
        <w:rPr>
          <w:rFonts w:ascii="Arial Narrow" w:hAnsi="Arial Narrow"/>
          <w:sz w:val="24"/>
          <w:szCs w:val="24"/>
        </w:rPr>
        <w:t>, l’accomplissement des travaux comptables périodiques (rapprochements bancaires, amortissements, etc.)</w:t>
      </w:r>
      <w:r w:rsidR="00F05AF7" w:rsidRPr="002F0E0F">
        <w:rPr>
          <w:rFonts w:ascii="Arial Narrow" w:hAnsi="Arial Narrow"/>
          <w:sz w:val="24"/>
          <w:szCs w:val="24"/>
        </w:rPr>
        <w:t xml:space="preserve"> </w:t>
      </w:r>
      <w:r w:rsidRPr="002F0E0F">
        <w:rPr>
          <w:rFonts w:ascii="Arial Narrow" w:hAnsi="Arial Narrow"/>
          <w:sz w:val="24"/>
          <w:szCs w:val="24"/>
        </w:rPr>
        <w:t xml:space="preserve">ainsi que le classement des documents s’y rapportant et ce conformément aux dispositions du système comptable des </w:t>
      </w:r>
      <w:r w:rsidR="00BA2E00">
        <w:rPr>
          <w:rFonts w:ascii="Arial Narrow" w:hAnsi="Arial Narrow"/>
          <w:sz w:val="24"/>
          <w:szCs w:val="24"/>
        </w:rPr>
        <w:t>associations</w:t>
      </w:r>
      <w:r w:rsidRPr="002F0E0F">
        <w:rPr>
          <w:rFonts w:ascii="Arial Narrow" w:hAnsi="Arial Narrow"/>
          <w:sz w:val="24"/>
          <w:szCs w:val="24"/>
        </w:rPr>
        <w:t>.</w:t>
      </w:r>
    </w:p>
    <w:p w:rsidR="00A01C40" w:rsidRPr="002F0E0F" w:rsidRDefault="00A01C40" w:rsidP="00217390">
      <w:pPr>
        <w:pStyle w:val="ListParagraph"/>
        <w:numPr>
          <w:ilvl w:val="1"/>
          <w:numId w:val="23"/>
        </w:numPr>
        <w:tabs>
          <w:tab w:val="left" w:pos="426"/>
        </w:tabs>
        <w:bidi w:val="0"/>
        <w:spacing w:before="120" w:after="120" w:line="360" w:lineRule="auto"/>
        <w:jc w:val="both"/>
        <w:rPr>
          <w:rFonts w:ascii="Arial Narrow" w:hAnsi="Arial Narrow"/>
          <w:bCs/>
          <w:i/>
          <w:iCs/>
          <w:sz w:val="24"/>
          <w:szCs w:val="24"/>
          <w:u w:val="single"/>
        </w:rPr>
      </w:pPr>
      <w:r w:rsidRPr="002F0E0F">
        <w:rPr>
          <w:rFonts w:ascii="Arial Narrow" w:hAnsi="Arial Narrow"/>
          <w:bCs/>
          <w:i/>
          <w:iCs/>
          <w:sz w:val="24"/>
          <w:szCs w:val="24"/>
          <w:u w:val="single"/>
        </w:rPr>
        <w:t>Tenue de la comptabilité analytique</w:t>
      </w:r>
    </w:p>
    <w:p w:rsidR="00FA4E5D" w:rsidRDefault="00A01C40" w:rsidP="00CC2B09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 xml:space="preserve">Ce volet consiste en l’affectation analytique de tous les produits et les charges comptabilisés par projet selon les rubriques </w:t>
      </w:r>
      <w:r w:rsidR="00CC2B09">
        <w:rPr>
          <w:rFonts w:ascii="Arial Narrow" w:hAnsi="Arial Narrow"/>
          <w:sz w:val="24"/>
          <w:szCs w:val="24"/>
        </w:rPr>
        <w:t>budgétaires correspondantes</w:t>
      </w:r>
      <w:r w:rsidRPr="002F0E0F">
        <w:rPr>
          <w:rFonts w:ascii="Arial Narrow" w:hAnsi="Arial Narrow"/>
          <w:sz w:val="24"/>
          <w:szCs w:val="24"/>
        </w:rPr>
        <w:t xml:space="preserve">. Ainsi, la comptabilité permettra d’offrir une base fiable pour l’établissement des </w:t>
      </w:r>
      <w:proofErr w:type="spellStart"/>
      <w:r w:rsidRPr="002F0E0F">
        <w:rPr>
          <w:rFonts w:ascii="Arial Narrow" w:hAnsi="Arial Narrow"/>
          <w:sz w:val="24"/>
          <w:szCs w:val="24"/>
        </w:rPr>
        <w:t>reportings</w:t>
      </w:r>
      <w:proofErr w:type="spellEnd"/>
      <w:r w:rsidRPr="002F0E0F">
        <w:rPr>
          <w:rFonts w:ascii="Arial Narrow" w:hAnsi="Arial Narrow"/>
          <w:sz w:val="24"/>
          <w:szCs w:val="24"/>
        </w:rPr>
        <w:t xml:space="preserve"> financiers requis par les bailleurs de fonds et de déterminer </w:t>
      </w:r>
      <w:r w:rsidR="0008323C" w:rsidRPr="002F0E0F">
        <w:rPr>
          <w:rFonts w:ascii="Arial Narrow" w:hAnsi="Arial Narrow"/>
          <w:sz w:val="24"/>
          <w:szCs w:val="24"/>
        </w:rPr>
        <w:t>les performances par projet.</w:t>
      </w:r>
    </w:p>
    <w:p w:rsidR="006557BF" w:rsidRPr="002F0E0F" w:rsidRDefault="006557BF" w:rsidP="00217390">
      <w:pPr>
        <w:pStyle w:val="ListParagraph"/>
        <w:numPr>
          <w:ilvl w:val="1"/>
          <w:numId w:val="23"/>
        </w:numPr>
        <w:tabs>
          <w:tab w:val="left" w:pos="426"/>
        </w:tabs>
        <w:bidi w:val="0"/>
        <w:spacing w:before="120" w:after="120" w:line="360" w:lineRule="auto"/>
        <w:jc w:val="both"/>
        <w:rPr>
          <w:rFonts w:ascii="Arial Narrow" w:hAnsi="Arial Narrow"/>
          <w:bCs/>
          <w:i/>
          <w:iCs/>
          <w:sz w:val="24"/>
          <w:szCs w:val="24"/>
          <w:u w:val="single"/>
        </w:rPr>
      </w:pPr>
      <w:r w:rsidRPr="002F0E0F">
        <w:rPr>
          <w:rFonts w:ascii="Arial Narrow" w:hAnsi="Arial Narrow"/>
          <w:bCs/>
          <w:i/>
          <w:iCs/>
          <w:sz w:val="24"/>
          <w:szCs w:val="24"/>
          <w:u w:val="single"/>
        </w:rPr>
        <w:t>Etablissement des états financiers annuels</w:t>
      </w:r>
      <w:r w:rsidR="00DC4728" w:rsidRPr="002F0E0F">
        <w:rPr>
          <w:rFonts w:ascii="Arial Narrow" w:hAnsi="Arial Narrow"/>
          <w:bCs/>
          <w:i/>
          <w:iCs/>
          <w:sz w:val="24"/>
          <w:szCs w:val="24"/>
          <w:u w:val="single"/>
        </w:rPr>
        <w:t xml:space="preserve"> </w:t>
      </w:r>
    </w:p>
    <w:p w:rsidR="006557BF" w:rsidRDefault="006557BF" w:rsidP="00D8592D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>Il s’agit de la préparation des états financiers annuels à la clôture de l’exercice</w:t>
      </w:r>
      <w:r w:rsidR="00DC4728" w:rsidRPr="002F0E0F">
        <w:rPr>
          <w:rFonts w:ascii="Arial Narrow" w:hAnsi="Arial Narrow"/>
          <w:sz w:val="24"/>
          <w:szCs w:val="24"/>
        </w:rPr>
        <w:t xml:space="preserve"> </w:t>
      </w:r>
      <w:r w:rsidRPr="002F0E0F">
        <w:rPr>
          <w:rFonts w:ascii="Arial Narrow" w:hAnsi="Arial Narrow"/>
          <w:sz w:val="24"/>
          <w:szCs w:val="24"/>
        </w:rPr>
        <w:t xml:space="preserve">conformément au système comptable </w:t>
      </w:r>
      <w:r w:rsidRPr="00D2745D">
        <w:rPr>
          <w:rFonts w:ascii="Arial Narrow" w:hAnsi="Arial Narrow"/>
          <w:sz w:val="24"/>
          <w:szCs w:val="24"/>
        </w:rPr>
        <w:t xml:space="preserve">des </w:t>
      </w:r>
      <w:r w:rsidR="00937949" w:rsidRPr="00D2745D">
        <w:rPr>
          <w:rFonts w:ascii="Arial Narrow" w:hAnsi="Arial Narrow"/>
          <w:sz w:val="24"/>
          <w:szCs w:val="24"/>
        </w:rPr>
        <w:t>entreprises et la norme comptable relative aux</w:t>
      </w:r>
      <w:r w:rsidR="00937949">
        <w:rPr>
          <w:rFonts w:ascii="Arial Narrow" w:hAnsi="Arial Narrow"/>
          <w:sz w:val="24"/>
          <w:szCs w:val="24"/>
        </w:rPr>
        <w:t xml:space="preserve"> </w:t>
      </w:r>
      <w:r w:rsidR="00BA2E00">
        <w:rPr>
          <w:rFonts w:ascii="Arial Narrow" w:hAnsi="Arial Narrow"/>
          <w:sz w:val="24"/>
          <w:szCs w:val="24"/>
        </w:rPr>
        <w:t>associations</w:t>
      </w:r>
      <w:r w:rsidR="00D8592D">
        <w:rPr>
          <w:rFonts w:ascii="Arial Narrow" w:hAnsi="Arial Narrow"/>
          <w:sz w:val="24"/>
          <w:szCs w:val="24"/>
        </w:rPr>
        <w:t>.</w:t>
      </w:r>
      <w:r w:rsidR="009F5797" w:rsidRPr="002F0E0F">
        <w:rPr>
          <w:rFonts w:ascii="Arial Narrow" w:hAnsi="Arial Narrow"/>
          <w:sz w:val="24"/>
          <w:szCs w:val="24"/>
        </w:rPr>
        <w:t xml:space="preserve"> </w:t>
      </w:r>
    </w:p>
    <w:p w:rsidR="006557BF" w:rsidRPr="002F0E0F" w:rsidRDefault="006557BF" w:rsidP="002F0E0F">
      <w:pPr>
        <w:pStyle w:val="ListParagraph"/>
        <w:numPr>
          <w:ilvl w:val="0"/>
          <w:numId w:val="6"/>
        </w:numPr>
        <w:tabs>
          <w:tab w:val="left" w:pos="426"/>
        </w:tabs>
        <w:bidi w:val="0"/>
        <w:spacing w:before="120" w:after="120" w:line="360" w:lineRule="auto"/>
        <w:ind w:left="0" w:hanging="11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2F0E0F">
        <w:rPr>
          <w:rFonts w:ascii="Arial Narrow" w:hAnsi="Arial Narrow"/>
          <w:b/>
          <w:sz w:val="24"/>
          <w:szCs w:val="24"/>
          <w:u w:val="single"/>
        </w:rPr>
        <w:t>Gestion du dossier fiscal</w:t>
      </w:r>
      <w:r w:rsidR="00BA2E00">
        <w:rPr>
          <w:rFonts w:ascii="Arial Narrow" w:hAnsi="Arial Narrow"/>
          <w:b/>
          <w:sz w:val="24"/>
          <w:szCs w:val="24"/>
          <w:u w:val="single"/>
        </w:rPr>
        <w:t xml:space="preserve"> pour les </w:t>
      </w:r>
      <w:r w:rsidR="006F008C">
        <w:rPr>
          <w:rFonts w:ascii="Arial Narrow" w:hAnsi="Arial Narrow"/>
          <w:b/>
          <w:sz w:val="24"/>
          <w:szCs w:val="24"/>
          <w:u w:val="single"/>
        </w:rPr>
        <w:t>année</w:t>
      </w:r>
      <w:r w:rsidR="00BA2E00">
        <w:rPr>
          <w:rFonts w:ascii="Arial Narrow" w:hAnsi="Arial Narrow"/>
          <w:b/>
          <w:sz w:val="24"/>
          <w:szCs w:val="24"/>
          <w:u w:val="single"/>
        </w:rPr>
        <w:t>s</w:t>
      </w:r>
      <w:r w:rsidR="006F008C">
        <w:rPr>
          <w:rFonts w:ascii="Arial Narrow" w:hAnsi="Arial Narrow"/>
          <w:b/>
          <w:sz w:val="24"/>
          <w:szCs w:val="24"/>
          <w:u w:val="single"/>
        </w:rPr>
        <w:t xml:space="preserve"> 202</w:t>
      </w:r>
      <w:r w:rsidR="007E7B24">
        <w:rPr>
          <w:rFonts w:ascii="Arial Narrow" w:hAnsi="Arial Narrow"/>
          <w:b/>
          <w:sz w:val="24"/>
          <w:szCs w:val="24"/>
          <w:u w:val="single"/>
        </w:rPr>
        <w:t>4-2025</w:t>
      </w:r>
      <w:r w:rsidR="00BA2E00">
        <w:rPr>
          <w:rFonts w:ascii="Arial Narrow" w:hAnsi="Arial Narrow"/>
          <w:b/>
          <w:sz w:val="24"/>
          <w:szCs w:val="24"/>
          <w:u w:val="single"/>
        </w:rPr>
        <w:t>-202</w:t>
      </w:r>
      <w:r w:rsidR="007E7B24">
        <w:rPr>
          <w:rFonts w:ascii="Arial Narrow" w:hAnsi="Arial Narrow"/>
          <w:b/>
          <w:sz w:val="24"/>
          <w:szCs w:val="24"/>
          <w:u w:val="single"/>
        </w:rPr>
        <w:t>6</w:t>
      </w:r>
    </w:p>
    <w:p w:rsidR="0087034B" w:rsidRPr="00217390" w:rsidRDefault="0087034B" w:rsidP="00217390">
      <w:pPr>
        <w:pStyle w:val="ListParagraph"/>
        <w:numPr>
          <w:ilvl w:val="1"/>
          <w:numId w:val="24"/>
        </w:numPr>
        <w:tabs>
          <w:tab w:val="left" w:pos="426"/>
        </w:tabs>
        <w:bidi w:val="0"/>
        <w:spacing w:before="120" w:after="120" w:line="360" w:lineRule="auto"/>
        <w:jc w:val="both"/>
        <w:rPr>
          <w:rFonts w:ascii="Arial Narrow" w:hAnsi="Arial Narrow"/>
          <w:bCs/>
          <w:i/>
          <w:iCs/>
          <w:sz w:val="24"/>
          <w:szCs w:val="24"/>
          <w:u w:val="single"/>
        </w:rPr>
      </w:pPr>
      <w:r w:rsidRPr="00217390">
        <w:rPr>
          <w:rFonts w:ascii="Arial Narrow" w:hAnsi="Arial Narrow"/>
          <w:bCs/>
          <w:i/>
          <w:iCs/>
          <w:sz w:val="24"/>
          <w:szCs w:val="24"/>
          <w:u w:val="single"/>
        </w:rPr>
        <w:t xml:space="preserve">Etablissement des déclarations fiscales </w:t>
      </w:r>
    </w:p>
    <w:p w:rsidR="0087034B" w:rsidRPr="002F0E0F" w:rsidRDefault="0087034B" w:rsidP="00D8592D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 xml:space="preserve">Ce volet consiste en la préparation </w:t>
      </w:r>
      <w:r w:rsidR="00342631">
        <w:rPr>
          <w:rFonts w:ascii="Arial Narrow" w:hAnsi="Arial Narrow"/>
          <w:sz w:val="24"/>
          <w:szCs w:val="24"/>
        </w:rPr>
        <w:t xml:space="preserve">et le dépôt </w:t>
      </w:r>
      <w:r w:rsidRPr="002F0E0F">
        <w:rPr>
          <w:rFonts w:ascii="Arial Narrow" w:hAnsi="Arial Narrow"/>
          <w:sz w:val="24"/>
          <w:szCs w:val="24"/>
        </w:rPr>
        <w:t xml:space="preserve">des déclarations fiscales auxquelles </w:t>
      </w:r>
      <w:r w:rsidR="00BA2E00">
        <w:rPr>
          <w:rFonts w:ascii="Arial Narrow" w:hAnsi="Arial Narrow"/>
          <w:b/>
          <w:bCs/>
          <w:sz w:val="24"/>
          <w:szCs w:val="24"/>
        </w:rPr>
        <w:t>La Fondation Rosa Luxemburg</w:t>
      </w:r>
      <w:r w:rsidR="002043FB" w:rsidRPr="002F0E0F">
        <w:rPr>
          <w:rFonts w:ascii="Arial Narrow" w:hAnsi="Arial Narrow"/>
          <w:sz w:val="24"/>
          <w:szCs w:val="24"/>
        </w:rPr>
        <w:t xml:space="preserve"> </w:t>
      </w:r>
      <w:r w:rsidR="00D8592D">
        <w:rPr>
          <w:rFonts w:ascii="Arial Narrow" w:hAnsi="Arial Narrow"/>
          <w:sz w:val="24"/>
          <w:szCs w:val="24"/>
        </w:rPr>
        <w:t>est soumis</w:t>
      </w:r>
      <w:r w:rsidR="00BA2E00">
        <w:rPr>
          <w:rFonts w:ascii="Arial Narrow" w:hAnsi="Arial Narrow"/>
          <w:sz w:val="24"/>
          <w:szCs w:val="24"/>
        </w:rPr>
        <w:t>e</w:t>
      </w:r>
      <w:r w:rsidR="00D8592D">
        <w:rPr>
          <w:rFonts w:ascii="Arial Narrow" w:hAnsi="Arial Narrow"/>
          <w:sz w:val="24"/>
          <w:szCs w:val="24"/>
        </w:rPr>
        <w:t> : d</w:t>
      </w:r>
      <w:r w:rsidRPr="002F0E0F">
        <w:rPr>
          <w:rFonts w:ascii="Arial Narrow" w:hAnsi="Arial Narrow"/>
          <w:sz w:val="24"/>
          <w:szCs w:val="24"/>
        </w:rPr>
        <w:t>é</w:t>
      </w:r>
      <w:r w:rsidR="00D2745D">
        <w:rPr>
          <w:rFonts w:ascii="Arial Narrow" w:hAnsi="Arial Narrow"/>
          <w:sz w:val="24"/>
          <w:szCs w:val="24"/>
        </w:rPr>
        <w:t>clarations fiscales mensuelles</w:t>
      </w:r>
      <w:r w:rsidR="00D8592D" w:rsidRPr="00937949">
        <w:rPr>
          <w:rFonts w:ascii="Arial Narrow" w:hAnsi="Arial Narrow"/>
          <w:strike/>
          <w:sz w:val="24"/>
          <w:szCs w:val="24"/>
        </w:rPr>
        <w:t>,</w:t>
      </w:r>
      <w:r w:rsidR="00D8592D">
        <w:rPr>
          <w:rFonts w:ascii="Arial Narrow" w:hAnsi="Arial Narrow"/>
          <w:sz w:val="24"/>
          <w:szCs w:val="24"/>
        </w:rPr>
        <w:t xml:space="preserve"> </w:t>
      </w:r>
      <w:r w:rsidRPr="002F0E0F">
        <w:rPr>
          <w:rFonts w:ascii="Arial Narrow" w:hAnsi="Arial Narrow"/>
          <w:sz w:val="24"/>
          <w:szCs w:val="24"/>
        </w:rPr>
        <w:t>déclaration de l’employeur</w:t>
      </w:r>
      <w:r w:rsidR="00D8592D">
        <w:rPr>
          <w:rFonts w:ascii="Arial Narrow" w:hAnsi="Arial Narrow"/>
          <w:sz w:val="24"/>
          <w:szCs w:val="24"/>
        </w:rPr>
        <w:t>, etc</w:t>
      </w:r>
      <w:r w:rsidRPr="002F0E0F">
        <w:rPr>
          <w:rFonts w:ascii="Arial Narrow" w:hAnsi="Arial Narrow"/>
          <w:sz w:val="24"/>
          <w:szCs w:val="24"/>
        </w:rPr>
        <w:t>.</w:t>
      </w:r>
    </w:p>
    <w:p w:rsidR="00C575C7" w:rsidRPr="002F0E0F" w:rsidRDefault="00C575C7" w:rsidP="00217390">
      <w:pPr>
        <w:pStyle w:val="ListParagraph"/>
        <w:numPr>
          <w:ilvl w:val="1"/>
          <w:numId w:val="24"/>
        </w:numPr>
        <w:tabs>
          <w:tab w:val="left" w:pos="426"/>
        </w:tabs>
        <w:bidi w:val="0"/>
        <w:spacing w:before="120" w:after="120" w:line="360" w:lineRule="auto"/>
        <w:jc w:val="both"/>
        <w:rPr>
          <w:rFonts w:ascii="Arial Narrow" w:hAnsi="Arial Narrow"/>
          <w:bCs/>
          <w:i/>
          <w:iCs/>
          <w:sz w:val="24"/>
          <w:szCs w:val="24"/>
          <w:u w:val="single"/>
        </w:rPr>
      </w:pPr>
      <w:r w:rsidRPr="002F0E0F">
        <w:rPr>
          <w:rFonts w:ascii="Arial Narrow" w:hAnsi="Arial Narrow"/>
          <w:bCs/>
          <w:i/>
          <w:iCs/>
          <w:sz w:val="24"/>
          <w:szCs w:val="24"/>
          <w:u w:val="single"/>
        </w:rPr>
        <w:t>Gestion de la relation avec l’administration fiscale en phase de précontentieux</w:t>
      </w:r>
    </w:p>
    <w:p w:rsidR="00C575C7" w:rsidRDefault="00C575C7" w:rsidP="002F0E0F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>Ce volet consiste à assurer le rôle de vis-à-vis de l’administration fiscale pour toute affaire requérant des clarifications d’ordre comptable ou fiscal tant qu’elle est en phase précontentieuse : demande d’éclaircissement, de justification, etc.</w:t>
      </w:r>
    </w:p>
    <w:p w:rsidR="0024141C" w:rsidRPr="002F0E0F" w:rsidRDefault="00522530" w:rsidP="002F0E0F">
      <w:pPr>
        <w:pStyle w:val="ListParagraph"/>
        <w:numPr>
          <w:ilvl w:val="0"/>
          <w:numId w:val="6"/>
        </w:numPr>
        <w:tabs>
          <w:tab w:val="left" w:pos="426"/>
        </w:tabs>
        <w:bidi w:val="0"/>
        <w:spacing w:before="120" w:after="120" w:line="360" w:lineRule="auto"/>
        <w:ind w:left="0" w:hanging="11"/>
        <w:contextualSpacing w:val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F0E0F">
        <w:rPr>
          <w:rFonts w:ascii="Arial Narrow" w:hAnsi="Arial Narrow"/>
          <w:b/>
          <w:sz w:val="24"/>
          <w:szCs w:val="24"/>
          <w:u w:val="single"/>
        </w:rPr>
        <w:t>Gestion</w:t>
      </w:r>
      <w:r w:rsidR="0024141C" w:rsidRPr="002F0E0F">
        <w:rPr>
          <w:rFonts w:ascii="Arial Narrow" w:hAnsi="Arial Narrow"/>
          <w:b/>
          <w:sz w:val="24"/>
          <w:szCs w:val="24"/>
          <w:u w:val="single"/>
        </w:rPr>
        <w:t xml:space="preserve"> de la paie mensuelle</w:t>
      </w:r>
      <w:r w:rsidR="006557BF" w:rsidRPr="002F0E0F">
        <w:rPr>
          <w:rFonts w:ascii="Arial Narrow" w:hAnsi="Arial Narrow"/>
          <w:b/>
          <w:sz w:val="24"/>
          <w:szCs w:val="24"/>
          <w:u w:val="single"/>
        </w:rPr>
        <w:t xml:space="preserve"> et des </w:t>
      </w:r>
      <w:r w:rsidR="00AA2D0F" w:rsidRPr="002F0E0F">
        <w:rPr>
          <w:rFonts w:ascii="Arial Narrow" w:hAnsi="Arial Narrow"/>
          <w:b/>
          <w:sz w:val="24"/>
          <w:szCs w:val="24"/>
          <w:u w:val="single"/>
        </w:rPr>
        <w:t>déclaration</w:t>
      </w:r>
      <w:r w:rsidR="006557BF" w:rsidRPr="002F0E0F">
        <w:rPr>
          <w:rFonts w:ascii="Arial Narrow" w:hAnsi="Arial Narrow"/>
          <w:b/>
          <w:sz w:val="24"/>
          <w:szCs w:val="24"/>
          <w:u w:val="single"/>
        </w:rPr>
        <w:t>s</w:t>
      </w:r>
      <w:r w:rsidR="00AA2D0F" w:rsidRPr="002F0E0F">
        <w:rPr>
          <w:rFonts w:ascii="Arial Narrow" w:hAnsi="Arial Narrow"/>
          <w:b/>
          <w:sz w:val="24"/>
          <w:szCs w:val="24"/>
          <w:u w:val="single"/>
        </w:rPr>
        <w:t xml:space="preserve"> sociale</w:t>
      </w:r>
      <w:r w:rsidR="006557BF" w:rsidRPr="002F0E0F">
        <w:rPr>
          <w:rFonts w:ascii="Arial Narrow" w:hAnsi="Arial Narrow"/>
          <w:b/>
          <w:sz w:val="24"/>
          <w:szCs w:val="24"/>
          <w:u w:val="single"/>
        </w:rPr>
        <w:t>s</w:t>
      </w:r>
      <w:r w:rsidR="006F008C">
        <w:rPr>
          <w:rFonts w:ascii="Arial Narrow" w:hAnsi="Arial Narrow"/>
          <w:b/>
          <w:sz w:val="24"/>
          <w:szCs w:val="24"/>
          <w:u w:val="single"/>
        </w:rPr>
        <w:t xml:space="preserve"> pour </w:t>
      </w:r>
      <w:r w:rsidR="007E7B24">
        <w:rPr>
          <w:rFonts w:ascii="Arial Narrow" w:hAnsi="Arial Narrow"/>
          <w:b/>
          <w:sz w:val="24"/>
          <w:szCs w:val="24"/>
          <w:u w:val="single"/>
        </w:rPr>
        <w:t>les années 2024-2025-2026</w:t>
      </w:r>
    </w:p>
    <w:p w:rsidR="00C575C7" w:rsidRPr="002F0E0F" w:rsidRDefault="00C575C7" w:rsidP="002F0E0F">
      <w:pPr>
        <w:pStyle w:val="ListParagraph"/>
        <w:numPr>
          <w:ilvl w:val="1"/>
          <w:numId w:val="18"/>
        </w:numPr>
        <w:tabs>
          <w:tab w:val="left" w:pos="426"/>
        </w:tabs>
        <w:bidi w:val="0"/>
        <w:spacing w:before="120" w:after="120" w:line="360" w:lineRule="auto"/>
        <w:contextualSpacing w:val="0"/>
        <w:jc w:val="both"/>
        <w:rPr>
          <w:rFonts w:ascii="Arial Narrow" w:hAnsi="Arial Narrow"/>
          <w:sz w:val="24"/>
          <w:szCs w:val="24"/>
          <w:u w:val="single"/>
        </w:rPr>
      </w:pPr>
      <w:r w:rsidRPr="002F0E0F">
        <w:rPr>
          <w:rFonts w:ascii="Arial Narrow" w:hAnsi="Arial Narrow"/>
          <w:bCs/>
          <w:sz w:val="24"/>
          <w:szCs w:val="24"/>
          <w:u w:val="single"/>
        </w:rPr>
        <w:t>Gestion</w:t>
      </w:r>
      <w:r w:rsidRPr="002F0E0F">
        <w:rPr>
          <w:rFonts w:ascii="Arial Narrow" w:hAnsi="Arial Narrow"/>
          <w:sz w:val="24"/>
          <w:szCs w:val="24"/>
          <w:u w:val="single"/>
        </w:rPr>
        <w:t xml:space="preserve"> de la paie mensuelle</w:t>
      </w:r>
    </w:p>
    <w:p w:rsidR="00DC4728" w:rsidRPr="002F0E0F" w:rsidRDefault="0024141C" w:rsidP="002F0E0F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lastRenderedPageBreak/>
        <w:t>Ce volet consiste en l’établissement des journaux de la paie mensuel</w:t>
      </w:r>
      <w:r w:rsidR="00AA2D0F" w:rsidRPr="002F0E0F">
        <w:rPr>
          <w:rFonts w:ascii="Arial Narrow" w:hAnsi="Arial Narrow"/>
          <w:sz w:val="24"/>
          <w:szCs w:val="24"/>
        </w:rPr>
        <w:t>le</w:t>
      </w:r>
      <w:r w:rsidR="00342631">
        <w:rPr>
          <w:rFonts w:ascii="Arial Narrow" w:hAnsi="Arial Narrow"/>
          <w:sz w:val="24"/>
          <w:szCs w:val="24"/>
        </w:rPr>
        <w:t xml:space="preserve"> et de la paie occasionnelle (primes, STC, etc.)</w:t>
      </w:r>
      <w:r w:rsidR="00AA2D0F" w:rsidRPr="002F0E0F">
        <w:rPr>
          <w:rFonts w:ascii="Arial Narrow" w:hAnsi="Arial Narrow"/>
          <w:sz w:val="24"/>
          <w:szCs w:val="24"/>
        </w:rPr>
        <w:t xml:space="preserve"> ainsi que </w:t>
      </w:r>
      <w:r w:rsidR="00C575C7" w:rsidRPr="002F0E0F">
        <w:rPr>
          <w:rFonts w:ascii="Arial Narrow" w:hAnsi="Arial Narrow"/>
          <w:sz w:val="24"/>
          <w:szCs w:val="24"/>
        </w:rPr>
        <w:t>d</w:t>
      </w:r>
      <w:r w:rsidR="00AA2D0F" w:rsidRPr="002F0E0F">
        <w:rPr>
          <w:rFonts w:ascii="Arial Narrow" w:hAnsi="Arial Narrow"/>
          <w:sz w:val="24"/>
          <w:szCs w:val="24"/>
        </w:rPr>
        <w:t>es fiches de paie</w:t>
      </w:r>
      <w:r w:rsidR="00C575C7" w:rsidRPr="002F0E0F">
        <w:rPr>
          <w:rFonts w:ascii="Arial Narrow" w:hAnsi="Arial Narrow"/>
          <w:sz w:val="24"/>
          <w:szCs w:val="24"/>
        </w:rPr>
        <w:t xml:space="preserve">. </w:t>
      </w:r>
    </w:p>
    <w:p w:rsidR="00C575C7" w:rsidRPr="002F0E0F" w:rsidRDefault="00C575C7" w:rsidP="002F0E0F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 xml:space="preserve">Il porte également sur la communication à la fin de chaque année des attestations annuelles de retenue à la source au titre des salaires à </w:t>
      </w:r>
      <w:r w:rsidR="00522530" w:rsidRPr="002F0E0F">
        <w:rPr>
          <w:rFonts w:ascii="Arial Narrow" w:hAnsi="Arial Narrow"/>
          <w:sz w:val="24"/>
          <w:szCs w:val="24"/>
        </w:rPr>
        <w:t>remettre</w:t>
      </w:r>
      <w:r w:rsidRPr="002F0E0F">
        <w:rPr>
          <w:rFonts w:ascii="Arial Narrow" w:hAnsi="Arial Narrow"/>
          <w:sz w:val="24"/>
          <w:szCs w:val="24"/>
        </w:rPr>
        <w:t xml:space="preserve"> aux employés.</w:t>
      </w:r>
    </w:p>
    <w:p w:rsidR="00522530" w:rsidRPr="002F0E0F" w:rsidRDefault="00215930" w:rsidP="002F0E0F">
      <w:pPr>
        <w:pStyle w:val="ListParagraph"/>
        <w:numPr>
          <w:ilvl w:val="1"/>
          <w:numId w:val="18"/>
        </w:numPr>
        <w:tabs>
          <w:tab w:val="left" w:pos="426"/>
        </w:tabs>
        <w:bidi w:val="0"/>
        <w:spacing w:before="120" w:after="120" w:line="360" w:lineRule="auto"/>
        <w:contextualSpacing w:val="0"/>
        <w:jc w:val="both"/>
        <w:rPr>
          <w:rFonts w:ascii="Arial Narrow" w:hAnsi="Arial Narrow"/>
          <w:sz w:val="24"/>
          <w:szCs w:val="24"/>
          <w:u w:val="single"/>
        </w:rPr>
      </w:pPr>
      <w:r w:rsidRPr="002F0E0F">
        <w:rPr>
          <w:rFonts w:ascii="Arial Narrow" w:hAnsi="Arial Narrow"/>
          <w:bCs/>
          <w:sz w:val="24"/>
          <w:szCs w:val="24"/>
          <w:u w:val="single"/>
        </w:rPr>
        <w:t>Etablissement</w:t>
      </w:r>
      <w:r w:rsidR="00522530" w:rsidRPr="002F0E0F">
        <w:rPr>
          <w:rFonts w:ascii="Arial Narrow" w:hAnsi="Arial Narrow"/>
          <w:bCs/>
          <w:sz w:val="24"/>
          <w:szCs w:val="24"/>
          <w:u w:val="single"/>
        </w:rPr>
        <w:t xml:space="preserve"> des déclarations sociales</w:t>
      </w:r>
    </w:p>
    <w:p w:rsidR="00AA2D0F" w:rsidRPr="002F0E0F" w:rsidRDefault="00522530" w:rsidP="002F0E0F">
      <w:pPr>
        <w:bidi w:val="0"/>
        <w:spacing w:before="120" w:after="12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 xml:space="preserve">Il s’agit de la </w:t>
      </w:r>
      <w:r w:rsidR="00AA2D0F" w:rsidRPr="002F0E0F">
        <w:rPr>
          <w:rFonts w:ascii="Arial Narrow" w:hAnsi="Arial Narrow"/>
          <w:sz w:val="24"/>
          <w:szCs w:val="24"/>
        </w:rPr>
        <w:t>préparation</w:t>
      </w:r>
      <w:r w:rsidR="00342631">
        <w:rPr>
          <w:rFonts w:ascii="Arial Narrow" w:hAnsi="Arial Narrow"/>
          <w:sz w:val="24"/>
          <w:szCs w:val="24"/>
        </w:rPr>
        <w:t xml:space="preserve"> et du dépôt</w:t>
      </w:r>
      <w:r w:rsidR="00AA2D0F" w:rsidRPr="002F0E0F">
        <w:rPr>
          <w:rFonts w:ascii="Arial Narrow" w:hAnsi="Arial Narrow"/>
          <w:sz w:val="24"/>
          <w:szCs w:val="24"/>
        </w:rPr>
        <w:t xml:space="preserve"> de</w:t>
      </w:r>
      <w:r w:rsidR="006557BF" w:rsidRPr="002F0E0F">
        <w:rPr>
          <w:rFonts w:ascii="Arial Narrow" w:hAnsi="Arial Narrow"/>
          <w:sz w:val="24"/>
          <w:szCs w:val="24"/>
        </w:rPr>
        <w:t xml:space="preserve">s déclarations </w:t>
      </w:r>
      <w:r w:rsidR="00AA2D0F" w:rsidRPr="002F0E0F">
        <w:rPr>
          <w:rFonts w:ascii="Arial Narrow" w:hAnsi="Arial Narrow"/>
          <w:sz w:val="24"/>
          <w:szCs w:val="24"/>
        </w:rPr>
        <w:t xml:space="preserve">trimestrielles </w:t>
      </w:r>
      <w:r w:rsidRPr="002F0E0F">
        <w:rPr>
          <w:rFonts w:ascii="Arial Narrow" w:hAnsi="Arial Narrow"/>
          <w:sz w:val="24"/>
          <w:szCs w:val="24"/>
        </w:rPr>
        <w:t xml:space="preserve">des salaires </w:t>
      </w:r>
      <w:r w:rsidR="00AA2D0F" w:rsidRPr="002F0E0F">
        <w:rPr>
          <w:rFonts w:ascii="Arial Narrow" w:hAnsi="Arial Narrow"/>
          <w:sz w:val="24"/>
          <w:szCs w:val="24"/>
        </w:rPr>
        <w:t>à la CNSS</w:t>
      </w:r>
      <w:r w:rsidR="00D8592D">
        <w:rPr>
          <w:rFonts w:ascii="Arial Narrow" w:hAnsi="Arial Narrow"/>
          <w:sz w:val="24"/>
          <w:szCs w:val="24"/>
        </w:rPr>
        <w:t>.</w:t>
      </w:r>
      <w:r w:rsidR="00E13E8D" w:rsidRPr="002F0E0F">
        <w:rPr>
          <w:rFonts w:ascii="Arial Narrow" w:hAnsi="Arial Narrow"/>
          <w:b/>
          <w:sz w:val="24"/>
          <w:szCs w:val="24"/>
        </w:rPr>
        <w:t xml:space="preserve"> </w:t>
      </w:r>
      <w:r w:rsidR="00E13E8D" w:rsidRPr="002F0E0F">
        <w:rPr>
          <w:rFonts w:ascii="Arial Narrow" w:hAnsi="Arial Narrow"/>
          <w:bCs/>
          <w:sz w:val="24"/>
          <w:szCs w:val="24"/>
        </w:rPr>
        <w:t>(</w:t>
      </w:r>
      <w:proofErr w:type="gramStart"/>
      <w:r w:rsidR="00E13E8D" w:rsidRPr="002F0E0F">
        <w:rPr>
          <w:rFonts w:ascii="Arial Narrow" w:hAnsi="Arial Narrow"/>
          <w:bCs/>
          <w:sz w:val="24"/>
          <w:szCs w:val="24"/>
        </w:rPr>
        <w:t>sur</w:t>
      </w:r>
      <w:proofErr w:type="gramEnd"/>
      <w:r w:rsidR="00E13E8D" w:rsidRPr="002F0E0F">
        <w:rPr>
          <w:rFonts w:ascii="Arial Narrow" w:hAnsi="Arial Narrow"/>
          <w:bCs/>
          <w:sz w:val="24"/>
          <w:szCs w:val="24"/>
        </w:rPr>
        <w:t xml:space="preserve"> CD éventuellement).</w:t>
      </w:r>
    </w:p>
    <w:p w:rsidR="0024141C" w:rsidRPr="00FA4E5D" w:rsidRDefault="0024141C" w:rsidP="002F0E0F">
      <w:pPr>
        <w:pStyle w:val="ListParagraph"/>
        <w:numPr>
          <w:ilvl w:val="0"/>
          <w:numId w:val="13"/>
        </w:numPr>
        <w:tabs>
          <w:tab w:val="left" w:pos="426"/>
        </w:tabs>
        <w:bidi w:val="0"/>
        <w:spacing w:before="120" w:after="120" w:line="360" w:lineRule="auto"/>
        <w:ind w:left="0" w:firstLine="0"/>
        <w:contextualSpacing w:val="0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 w:rsidRPr="00FA4E5D">
        <w:rPr>
          <w:rFonts w:ascii="Arial Narrow" w:hAnsi="Arial Narrow"/>
          <w:b/>
          <w:bCs/>
          <w:sz w:val="28"/>
          <w:szCs w:val="28"/>
          <w:u w:val="single"/>
        </w:rPr>
        <w:t>Organisation et déroulement de la mission</w:t>
      </w:r>
    </w:p>
    <w:p w:rsidR="004E1F29" w:rsidRPr="00FA4E5D" w:rsidRDefault="004E1F29" w:rsidP="002F0E0F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before="120" w:after="120" w:line="360" w:lineRule="auto"/>
        <w:ind w:left="0" w:hanging="11"/>
        <w:contextualSpacing w:val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FA4E5D">
        <w:rPr>
          <w:rFonts w:ascii="Arial Narrow" w:hAnsi="Arial Narrow"/>
          <w:b/>
          <w:sz w:val="24"/>
          <w:szCs w:val="24"/>
          <w:u w:val="single"/>
        </w:rPr>
        <w:t>Conditions générales</w:t>
      </w:r>
    </w:p>
    <w:p w:rsidR="006C4C7F" w:rsidRDefault="004E1F29" w:rsidP="006C4C7F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>L</w:t>
      </w:r>
      <w:r w:rsidR="006C4C7F">
        <w:rPr>
          <w:rFonts w:ascii="Arial Narrow" w:hAnsi="Arial Narrow"/>
          <w:sz w:val="24"/>
          <w:szCs w:val="24"/>
        </w:rPr>
        <w:t xml:space="preserve">e prestataire doit </w:t>
      </w:r>
      <w:r w:rsidR="000C4D57" w:rsidRPr="002F0E0F">
        <w:rPr>
          <w:rFonts w:ascii="Arial Narrow" w:hAnsi="Arial Narrow"/>
          <w:sz w:val="24"/>
          <w:szCs w:val="24"/>
        </w:rPr>
        <w:t>condui</w:t>
      </w:r>
      <w:r w:rsidR="006C4C7F">
        <w:rPr>
          <w:rFonts w:ascii="Arial Narrow" w:hAnsi="Arial Narrow"/>
          <w:sz w:val="24"/>
          <w:szCs w:val="24"/>
        </w:rPr>
        <w:t xml:space="preserve">re la mission </w:t>
      </w:r>
      <w:r w:rsidR="000C4D57" w:rsidRPr="002F0E0F">
        <w:rPr>
          <w:rFonts w:ascii="Arial Narrow" w:hAnsi="Arial Narrow"/>
          <w:sz w:val="24"/>
          <w:szCs w:val="24"/>
        </w:rPr>
        <w:t>conformément aux règles</w:t>
      </w:r>
      <w:r w:rsidRPr="002F0E0F">
        <w:rPr>
          <w:rFonts w:ascii="Arial Narrow" w:hAnsi="Arial Narrow"/>
          <w:sz w:val="24"/>
          <w:szCs w:val="24"/>
        </w:rPr>
        <w:t xml:space="preserve"> professionnelles </w:t>
      </w:r>
      <w:r w:rsidR="000C4D57" w:rsidRPr="002F0E0F">
        <w:rPr>
          <w:rFonts w:ascii="Arial Narrow" w:hAnsi="Arial Narrow"/>
          <w:sz w:val="24"/>
          <w:szCs w:val="24"/>
        </w:rPr>
        <w:t>généralement admises. Ces règles requièrent d</w:t>
      </w:r>
      <w:r w:rsidR="006C4C7F">
        <w:rPr>
          <w:rFonts w:ascii="Arial Narrow" w:hAnsi="Arial Narrow"/>
          <w:sz w:val="24"/>
          <w:szCs w:val="24"/>
        </w:rPr>
        <w:t>u prestataire</w:t>
      </w:r>
      <w:r w:rsidR="000C4D57" w:rsidRPr="002F0E0F">
        <w:rPr>
          <w:rFonts w:ascii="Arial Narrow" w:hAnsi="Arial Narrow"/>
          <w:sz w:val="24"/>
          <w:szCs w:val="24"/>
        </w:rPr>
        <w:t xml:space="preserve"> la fourniture des moyens et di</w:t>
      </w:r>
      <w:r w:rsidR="00BA2E00">
        <w:rPr>
          <w:rFonts w:ascii="Arial Narrow" w:hAnsi="Arial Narrow"/>
          <w:sz w:val="24"/>
          <w:szCs w:val="24"/>
        </w:rPr>
        <w:t xml:space="preserve">ligences pour la satisfaction de </w:t>
      </w:r>
      <w:r w:rsidR="00BA2E00">
        <w:rPr>
          <w:rFonts w:ascii="Arial Narrow" w:hAnsi="Arial Narrow"/>
          <w:b/>
          <w:bCs/>
          <w:sz w:val="24"/>
          <w:szCs w:val="24"/>
        </w:rPr>
        <w:t>La Fondation Rosa Luxemburg</w:t>
      </w:r>
      <w:r w:rsidR="004268B6" w:rsidRPr="002F0E0F">
        <w:rPr>
          <w:rFonts w:ascii="Arial Narrow" w:hAnsi="Arial Narrow"/>
          <w:sz w:val="24"/>
          <w:szCs w:val="24"/>
        </w:rPr>
        <w:t xml:space="preserve"> ainsi que l’observation du secret professionnel</w:t>
      </w:r>
      <w:r w:rsidR="000C4D57" w:rsidRPr="002F0E0F">
        <w:rPr>
          <w:rFonts w:ascii="Arial Narrow" w:hAnsi="Arial Narrow"/>
          <w:sz w:val="24"/>
          <w:szCs w:val="24"/>
        </w:rPr>
        <w:t xml:space="preserve">. </w:t>
      </w:r>
    </w:p>
    <w:p w:rsidR="004E1F29" w:rsidRPr="002F0E0F" w:rsidRDefault="000C4D57" w:rsidP="006C4C7F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 xml:space="preserve">De sa part, </w:t>
      </w:r>
      <w:r w:rsidR="00BA2E00">
        <w:rPr>
          <w:rFonts w:ascii="Arial Narrow" w:hAnsi="Arial Narrow"/>
          <w:b/>
          <w:bCs/>
          <w:sz w:val="24"/>
          <w:szCs w:val="24"/>
        </w:rPr>
        <w:t>La</w:t>
      </w:r>
      <w:r w:rsidR="006C4C7F">
        <w:rPr>
          <w:rFonts w:ascii="Arial Narrow" w:hAnsi="Arial Narrow"/>
          <w:b/>
          <w:bCs/>
          <w:sz w:val="24"/>
          <w:szCs w:val="24"/>
        </w:rPr>
        <w:t xml:space="preserve"> </w:t>
      </w:r>
      <w:r w:rsidR="00BA2E00">
        <w:rPr>
          <w:rFonts w:ascii="Arial Narrow" w:hAnsi="Arial Narrow"/>
          <w:b/>
          <w:bCs/>
          <w:sz w:val="24"/>
          <w:szCs w:val="24"/>
        </w:rPr>
        <w:t>Fondation Rosa Luxemburg</w:t>
      </w:r>
      <w:r w:rsidR="006C4C7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F0E0F">
        <w:rPr>
          <w:rFonts w:ascii="Arial Narrow" w:hAnsi="Arial Narrow"/>
          <w:sz w:val="24"/>
          <w:szCs w:val="24"/>
        </w:rPr>
        <w:t xml:space="preserve">est </w:t>
      </w:r>
      <w:r w:rsidR="004268B6" w:rsidRPr="002F0E0F">
        <w:rPr>
          <w:rFonts w:ascii="Arial Narrow" w:hAnsi="Arial Narrow"/>
          <w:sz w:val="24"/>
          <w:szCs w:val="24"/>
        </w:rPr>
        <w:t>soumis</w:t>
      </w:r>
      <w:r w:rsidR="00BA2E00">
        <w:rPr>
          <w:rFonts w:ascii="Arial Narrow" w:hAnsi="Arial Narrow"/>
          <w:sz w:val="24"/>
          <w:szCs w:val="24"/>
        </w:rPr>
        <w:t>e</w:t>
      </w:r>
      <w:r w:rsidR="004268B6" w:rsidRPr="002F0E0F">
        <w:rPr>
          <w:rFonts w:ascii="Arial Narrow" w:hAnsi="Arial Narrow"/>
          <w:sz w:val="24"/>
          <w:szCs w:val="24"/>
        </w:rPr>
        <w:t xml:space="preserve"> à une obligation de coopération, d’information et de communication des documents permettant de mener à bien la mission.</w:t>
      </w:r>
    </w:p>
    <w:p w:rsidR="0024141C" w:rsidRPr="00FA4E5D" w:rsidRDefault="006C4C7F" w:rsidP="002F0E0F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before="120" w:after="120" w:line="360" w:lineRule="auto"/>
        <w:ind w:left="0" w:hanging="11"/>
        <w:contextualSpacing w:val="0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Moyens humain</w:t>
      </w:r>
      <w:r w:rsidR="0024141C" w:rsidRPr="00FA4E5D">
        <w:rPr>
          <w:rFonts w:ascii="Arial Narrow" w:hAnsi="Arial Narrow"/>
          <w:b/>
          <w:sz w:val="24"/>
          <w:szCs w:val="24"/>
          <w:u w:val="single"/>
        </w:rPr>
        <w:t>s</w:t>
      </w:r>
    </w:p>
    <w:p w:rsidR="00342631" w:rsidRDefault="006C4C7F" w:rsidP="00F30437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consultant doit affecter, au moins, </w:t>
      </w:r>
      <w:r w:rsidR="0024141C" w:rsidRPr="002F0E0F">
        <w:rPr>
          <w:rFonts w:ascii="Arial Narrow" w:hAnsi="Arial Narrow"/>
          <w:sz w:val="24"/>
          <w:szCs w:val="24"/>
        </w:rPr>
        <w:t xml:space="preserve">un assistant expérimenté </w:t>
      </w:r>
      <w:r>
        <w:rPr>
          <w:rFonts w:ascii="Arial Narrow" w:hAnsi="Arial Narrow"/>
          <w:sz w:val="24"/>
          <w:szCs w:val="24"/>
        </w:rPr>
        <w:t xml:space="preserve">employé permanent </w:t>
      </w:r>
      <w:r w:rsidR="00F30437">
        <w:rPr>
          <w:rFonts w:ascii="Arial Narrow" w:hAnsi="Arial Narrow"/>
          <w:sz w:val="24"/>
          <w:szCs w:val="24"/>
        </w:rPr>
        <w:t xml:space="preserve">de sa structure et doit assurer personnellement son </w:t>
      </w:r>
      <w:r w:rsidR="0024141C" w:rsidRPr="002F0E0F">
        <w:rPr>
          <w:rFonts w:ascii="Arial Narrow" w:hAnsi="Arial Narrow"/>
          <w:sz w:val="24"/>
          <w:szCs w:val="24"/>
        </w:rPr>
        <w:t>encadrement.</w:t>
      </w:r>
    </w:p>
    <w:p w:rsidR="0024141C" w:rsidRPr="00FA4E5D" w:rsidRDefault="0024141C" w:rsidP="002F0E0F">
      <w:pPr>
        <w:pStyle w:val="ListParagraph"/>
        <w:numPr>
          <w:ilvl w:val="0"/>
          <w:numId w:val="9"/>
        </w:numPr>
        <w:tabs>
          <w:tab w:val="left" w:pos="426"/>
        </w:tabs>
        <w:bidi w:val="0"/>
        <w:spacing w:before="120" w:after="120" w:line="360" w:lineRule="auto"/>
        <w:ind w:left="0" w:hanging="11"/>
        <w:contextualSpacing w:val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FA4E5D">
        <w:rPr>
          <w:rFonts w:ascii="Arial Narrow" w:hAnsi="Arial Narrow"/>
          <w:b/>
          <w:sz w:val="24"/>
          <w:szCs w:val="24"/>
          <w:u w:val="single"/>
        </w:rPr>
        <w:t>Remise des différents documents</w:t>
      </w:r>
    </w:p>
    <w:p w:rsidR="00E13E8D" w:rsidRPr="002F0E0F" w:rsidRDefault="0024141C" w:rsidP="006F008C">
      <w:pPr>
        <w:pStyle w:val="ListParagraph"/>
        <w:numPr>
          <w:ilvl w:val="0"/>
          <w:numId w:val="21"/>
        </w:numPr>
        <w:tabs>
          <w:tab w:val="left" w:pos="426"/>
        </w:tabs>
        <w:bidi w:val="0"/>
        <w:spacing w:before="60" w:after="60" w:line="360" w:lineRule="auto"/>
        <w:ind w:left="0" w:hanging="11"/>
        <w:contextualSpacing w:val="0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 xml:space="preserve">Les documents comptables sont remis par </w:t>
      </w:r>
      <w:r w:rsidR="00FD3CD2" w:rsidRPr="002F0E0F">
        <w:rPr>
          <w:rFonts w:ascii="Arial Narrow" w:hAnsi="Arial Narrow"/>
          <w:b/>
          <w:bCs/>
          <w:sz w:val="24"/>
          <w:szCs w:val="24"/>
        </w:rPr>
        <w:t>L</w:t>
      </w:r>
      <w:r w:rsidR="00BA2E00">
        <w:rPr>
          <w:rFonts w:ascii="Arial Narrow" w:hAnsi="Arial Narrow"/>
          <w:b/>
          <w:bCs/>
          <w:sz w:val="24"/>
          <w:szCs w:val="24"/>
        </w:rPr>
        <w:t xml:space="preserve">a Fondation Rosa Luxemburg </w:t>
      </w:r>
      <w:r w:rsidRPr="002F0E0F">
        <w:rPr>
          <w:rFonts w:ascii="Arial Narrow" w:hAnsi="Arial Narrow"/>
          <w:sz w:val="24"/>
          <w:szCs w:val="24"/>
        </w:rPr>
        <w:t xml:space="preserve">au </w:t>
      </w:r>
      <w:r w:rsidR="006F008C">
        <w:rPr>
          <w:rFonts w:ascii="Arial Narrow" w:hAnsi="Arial Narrow"/>
          <w:b/>
          <w:bCs/>
          <w:sz w:val="24"/>
          <w:szCs w:val="24"/>
        </w:rPr>
        <w:t>Prestataire</w:t>
      </w:r>
      <w:r w:rsidR="00C42655" w:rsidRPr="002F0E0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F0E0F">
        <w:rPr>
          <w:rFonts w:ascii="Arial Narrow" w:hAnsi="Arial Narrow"/>
          <w:sz w:val="24"/>
          <w:szCs w:val="24"/>
        </w:rPr>
        <w:t>au plus tard le 15 de chaque mois.</w:t>
      </w:r>
      <w:r w:rsidR="00922B14" w:rsidRPr="002F0E0F">
        <w:rPr>
          <w:rFonts w:ascii="Arial Narrow" w:hAnsi="Arial Narrow"/>
          <w:sz w:val="24"/>
          <w:szCs w:val="24"/>
        </w:rPr>
        <w:t xml:space="preserve"> </w:t>
      </w:r>
    </w:p>
    <w:p w:rsidR="0024141C" w:rsidRPr="002F0E0F" w:rsidRDefault="00922B14" w:rsidP="006F008C">
      <w:pPr>
        <w:pStyle w:val="ListParagraph"/>
        <w:numPr>
          <w:ilvl w:val="0"/>
          <w:numId w:val="21"/>
        </w:numPr>
        <w:tabs>
          <w:tab w:val="left" w:pos="426"/>
        </w:tabs>
        <w:bidi w:val="0"/>
        <w:spacing w:before="60" w:after="60" w:line="360" w:lineRule="auto"/>
        <w:ind w:left="0" w:hanging="11"/>
        <w:contextualSpacing w:val="0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>Les déclarations fiscales sont</w:t>
      </w:r>
      <w:r w:rsidR="00E13E8D" w:rsidRPr="002F0E0F">
        <w:rPr>
          <w:rFonts w:ascii="Arial Narrow" w:hAnsi="Arial Narrow"/>
          <w:sz w:val="24"/>
          <w:szCs w:val="24"/>
        </w:rPr>
        <w:t xml:space="preserve"> préparées, </w:t>
      </w:r>
      <w:r w:rsidRPr="002F0E0F">
        <w:rPr>
          <w:rFonts w:ascii="Arial Narrow" w:hAnsi="Arial Narrow"/>
          <w:sz w:val="24"/>
          <w:szCs w:val="24"/>
        </w:rPr>
        <w:t xml:space="preserve">saisies </w:t>
      </w:r>
      <w:r w:rsidR="00BA2E00">
        <w:rPr>
          <w:rFonts w:ascii="Arial Narrow" w:hAnsi="Arial Narrow"/>
          <w:sz w:val="24"/>
          <w:szCs w:val="24"/>
        </w:rPr>
        <w:t>manuellement</w:t>
      </w:r>
      <w:r w:rsidRPr="002F0E0F">
        <w:rPr>
          <w:rFonts w:ascii="Arial Narrow" w:hAnsi="Arial Narrow"/>
          <w:sz w:val="24"/>
          <w:szCs w:val="24"/>
        </w:rPr>
        <w:t xml:space="preserve"> et seront </w:t>
      </w:r>
      <w:r w:rsidR="00342631">
        <w:rPr>
          <w:rFonts w:ascii="Arial Narrow" w:hAnsi="Arial Narrow"/>
          <w:sz w:val="24"/>
          <w:szCs w:val="24"/>
        </w:rPr>
        <w:t xml:space="preserve">soumises </w:t>
      </w:r>
      <w:r w:rsidR="00BA2E00">
        <w:rPr>
          <w:rFonts w:ascii="Arial Narrow" w:hAnsi="Arial Narrow"/>
          <w:sz w:val="24"/>
          <w:szCs w:val="24"/>
        </w:rPr>
        <w:t>directement à</w:t>
      </w:r>
      <w:r w:rsidRPr="002F0E0F">
        <w:rPr>
          <w:rFonts w:ascii="Arial Narrow" w:hAnsi="Arial Narrow"/>
          <w:sz w:val="24"/>
          <w:szCs w:val="24"/>
        </w:rPr>
        <w:t xml:space="preserve"> </w:t>
      </w:r>
      <w:r w:rsidR="00BA2E00">
        <w:rPr>
          <w:rFonts w:ascii="Arial Narrow" w:hAnsi="Arial Narrow"/>
          <w:b/>
          <w:bCs/>
          <w:sz w:val="24"/>
          <w:szCs w:val="24"/>
        </w:rPr>
        <w:t>la Fondation Rosa Luxemburg</w:t>
      </w:r>
      <w:r w:rsidR="00F30437">
        <w:rPr>
          <w:rFonts w:ascii="Arial Narrow" w:hAnsi="Arial Narrow"/>
          <w:b/>
          <w:bCs/>
          <w:sz w:val="24"/>
          <w:szCs w:val="24"/>
        </w:rPr>
        <w:t xml:space="preserve"> </w:t>
      </w:r>
      <w:r w:rsidR="00342631">
        <w:rPr>
          <w:rFonts w:ascii="Arial Narrow" w:hAnsi="Arial Narrow"/>
          <w:sz w:val="24"/>
          <w:szCs w:val="24"/>
        </w:rPr>
        <w:t xml:space="preserve">pour validation et préparation du paiement </w:t>
      </w:r>
      <w:r w:rsidRPr="002F0E0F">
        <w:rPr>
          <w:rFonts w:ascii="Arial Narrow" w:hAnsi="Arial Narrow"/>
          <w:sz w:val="24"/>
          <w:szCs w:val="24"/>
        </w:rPr>
        <w:t>au plus tard le 25 du mois.</w:t>
      </w:r>
    </w:p>
    <w:p w:rsidR="0024141C" w:rsidRPr="002F0E0F" w:rsidRDefault="0024141C" w:rsidP="006F008C">
      <w:pPr>
        <w:pStyle w:val="ListParagraph"/>
        <w:numPr>
          <w:ilvl w:val="0"/>
          <w:numId w:val="21"/>
        </w:numPr>
        <w:tabs>
          <w:tab w:val="left" w:pos="426"/>
        </w:tabs>
        <w:bidi w:val="0"/>
        <w:spacing w:before="60" w:after="60" w:line="360" w:lineRule="auto"/>
        <w:ind w:left="0" w:hanging="11"/>
        <w:contextualSpacing w:val="0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 xml:space="preserve">Les demandes de chèques </w:t>
      </w:r>
      <w:r w:rsidR="00937949" w:rsidRPr="00D2745D">
        <w:rPr>
          <w:rFonts w:ascii="Arial Narrow" w:hAnsi="Arial Narrow"/>
          <w:sz w:val="24"/>
          <w:szCs w:val="24"/>
        </w:rPr>
        <w:t>ou de virement</w:t>
      </w:r>
      <w:r w:rsidR="00937949" w:rsidRPr="00937949">
        <w:rPr>
          <w:rFonts w:ascii="Arial Narrow" w:hAnsi="Arial Narrow"/>
          <w:color w:val="FF0000"/>
          <w:sz w:val="24"/>
          <w:szCs w:val="24"/>
        </w:rPr>
        <w:t xml:space="preserve"> </w:t>
      </w:r>
      <w:r w:rsidRPr="002F0E0F">
        <w:rPr>
          <w:rFonts w:ascii="Arial Narrow" w:hAnsi="Arial Narrow"/>
          <w:sz w:val="24"/>
          <w:szCs w:val="24"/>
        </w:rPr>
        <w:t>pour le règlement des déclarations CNSS sont présentées au plus tard le 10 du mois de déclaration.</w:t>
      </w:r>
    </w:p>
    <w:p w:rsidR="0024141C" w:rsidRDefault="0024141C" w:rsidP="006F008C">
      <w:pPr>
        <w:pStyle w:val="ListParagraph"/>
        <w:numPr>
          <w:ilvl w:val="0"/>
          <w:numId w:val="21"/>
        </w:numPr>
        <w:tabs>
          <w:tab w:val="left" w:pos="426"/>
        </w:tabs>
        <w:bidi w:val="0"/>
        <w:spacing w:before="60" w:after="60" w:line="360" w:lineRule="auto"/>
        <w:ind w:left="0" w:hanging="11"/>
        <w:contextualSpacing w:val="0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>Les états financiers sont établis au pl</w:t>
      </w:r>
      <w:bookmarkStart w:id="0" w:name="_GoBack"/>
      <w:bookmarkEnd w:id="0"/>
      <w:r w:rsidRPr="002F0E0F">
        <w:rPr>
          <w:rFonts w:ascii="Arial Narrow" w:hAnsi="Arial Narrow"/>
          <w:sz w:val="24"/>
          <w:szCs w:val="24"/>
        </w:rPr>
        <w:t xml:space="preserve">us tard le </w:t>
      </w:r>
      <w:r w:rsidR="00922B14" w:rsidRPr="002F0E0F">
        <w:rPr>
          <w:rFonts w:ascii="Arial Narrow" w:hAnsi="Arial Narrow"/>
          <w:sz w:val="24"/>
          <w:szCs w:val="24"/>
        </w:rPr>
        <w:t>28</w:t>
      </w:r>
      <w:r w:rsidRPr="002F0E0F">
        <w:rPr>
          <w:rFonts w:ascii="Arial Narrow" w:hAnsi="Arial Narrow"/>
          <w:sz w:val="24"/>
          <w:szCs w:val="24"/>
        </w:rPr>
        <w:t xml:space="preserve"> </w:t>
      </w:r>
      <w:r w:rsidR="00922B14" w:rsidRPr="002F0E0F">
        <w:rPr>
          <w:rFonts w:ascii="Arial Narrow" w:hAnsi="Arial Narrow"/>
          <w:sz w:val="24"/>
          <w:szCs w:val="24"/>
        </w:rPr>
        <w:t xml:space="preserve">février </w:t>
      </w:r>
      <w:r w:rsidRPr="002F0E0F">
        <w:rPr>
          <w:rFonts w:ascii="Arial Narrow" w:hAnsi="Arial Narrow"/>
          <w:sz w:val="24"/>
          <w:szCs w:val="24"/>
        </w:rPr>
        <w:t>de chaque année.</w:t>
      </w:r>
    </w:p>
    <w:p w:rsidR="00C619BC" w:rsidRPr="00FA4E5D" w:rsidRDefault="00C619BC" w:rsidP="002F0E0F">
      <w:pPr>
        <w:pStyle w:val="ListParagraph"/>
        <w:numPr>
          <w:ilvl w:val="0"/>
          <w:numId w:val="13"/>
        </w:numPr>
        <w:tabs>
          <w:tab w:val="left" w:pos="426"/>
        </w:tabs>
        <w:bidi w:val="0"/>
        <w:spacing w:before="120" w:after="120" w:line="360" w:lineRule="auto"/>
        <w:ind w:left="0" w:firstLine="0"/>
        <w:contextualSpacing w:val="0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 w:rsidRPr="00FA4E5D">
        <w:rPr>
          <w:rFonts w:ascii="Arial Narrow" w:hAnsi="Arial Narrow"/>
          <w:b/>
          <w:bCs/>
          <w:sz w:val="28"/>
          <w:szCs w:val="28"/>
          <w:u w:val="single"/>
        </w:rPr>
        <w:t>Durée de la mission</w:t>
      </w:r>
    </w:p>
    <w:p w:rsidR="00937949" w:rsidRDefault="00AA2D0F" w:rsidP="006F008C">
      <w:pPr>
        <w:widowControl w:val="0"/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 xml:space="preserve">La </w:t>
      </w:r>
      <w:r w:rsidR="00522530" w:rsidRPr="002F0E0F">
        <w:rPr>
          <w:rFonts w:ascii="Arial Narrow" w:hAnsi="Arial Narrow"/>
          <w:sz w:val="24"/>
          <w:szCs w:val="24"/>
        </w:rPr>
        <w:t xml:space="preserve">durée de la mission est </w:t>
      </w:r>
      <w:r w:rsidR="006F008C">
        <w:rPr>
          <w:rFonts w:ascii="Arial Narrow" w:hAnsi="Arial Narrow"/>
          <w:sz w:val="24"/>
          <w:szCs w:val="24"/>
        </w:rPr>
        <w:t xml:space="preserve">de </w:t>
      </w:r>
      <w:r w:rsidR="00BA2E00">
        <w:rPr>
          <w:rFonts w:ascii="Arial Narrow" w:hAnsi="Arial Narrow"/>
          <w:sz w:val="24"/>
          <w:szCs w:val="24"/>
        </w:rPr>
        <w:t>douze</w:t>
      </w:r>
      <w:r w:rsidR="006F008C">
        <w:rPr>
          <w:rFonts w:ascii="Arial Narrow" w:hAnsi="Arial Narrow"/>
          <w:sz w:val="24"/>
          <w:szCs w:val="24"/>
        </w:rPr>
        <w:t xml:space="preserve"> mois</w:t>
      </w:r>
      <w:r w:rsidR="00BA2E00">
        <w:rPr>
          <w:rFonts w:ascii="Arial Narrow" w:hAnsi="Arial Narrow"/>
          <w:sz w:val="24"/>
          <w:szCs w:val="24"/>
        </w:rPr>
        <w:t xml:space="preserve"> (renouvelable pour les années 2024 et 2025)</w:t>
      </w:r>
      <w:r w:rsidR="006F008C">
        <w:rPr>
          <w:rFonts w:ascii="Arial Narrow" w:hAnsi="Arial Narrow"/>
          <w:sz w:val="24"/>
          <w:szCs w:val="24"/>
        </w:rPr>
        <w:t xml:space="preserve"> </w:t>
      </w:r>
      <w:r w:rsidR="00522530" w:rsidRPr="002F0E0F">
        <w:rPr>
          <w:rFonts w:ascii="Arial Narrow" w:hAnsi="Arial Narrow"/>
          <w:sz w:val="24"/>
          <w:szCs w:val="24"/>
        </w:rPr>
        <w:t xml:space="preserve">commençant le </w:t>
      </w:r>
      <w:r w:rsidRPr="002F0E0F">
        <w:rPr>
          <w:rFonts w:ascii="Arial Narrow" w:hAnsi="Arial Narrow"/>
          <w:sz w:val="24"/>
          <w:szCs w:val="24"/>
        </w:rPr>
        <w:t>1</w:t>
      </w:r>
      <w:r w:rsidR="002A1313" w:rsidRPr="002F0E0F">
        <w:rPr>
          <w:rFonts w:ascii="Arial Narrow" w:hAnsi="Arial Narrow"/>
          <w:sz w:val="24"/>
          <w:szCs w:val="24"/>
          <w:vertAlign w:val="superscript"/>
        </w:rPr>
        <w:t>er</w:t>
      </w:r>
      <w:r w:rsidR="002A1313" w:rsidRPr="002F0E0F">
        <w:rPr>
          <w:rFonts w:ascii="Arial Narrow" w:hAnsi="Arial Narrow"/>
          <w:sz w:val="24"/>
          <w:szCs w:val="24"/>
        </w:rPr>
        <w:t xml:space="preserve"> </w:t>
      </w:r>
      <w:r w:rsidR="00BA2E00">
        <w:rPr>
          <w:rFonts w:ascii="Arial Narrow" w:hAnsi="Arial Narrow"/>
          <w:sz w:val="24"/>
          <w:szCs w:val="24"/>
        </w:rPr>
        <w:t>Janvier</w:t>
      </w:r>
      <w:r w:rsidR="006F008C">
        <w:rPr>
          <w:rFonts w:ascii="Arial Narrow" w:hAnsi="Arial Narrow"/>
          <w:sz w:val="24"/>
          <w:szCs w:val="24"/>
        </w:rPr>
        <w:t xml:space="preserve"> </w:t>
      </w:r>
      <w:r w:rsidR="00FA4E5D">
        <w:rPr>
          <w:rFonts w:ascii="Arial Narrow" w:hAnsi="Arial Narrow"/>
          <w:sz w:val="24"/>
          <w:szCs w:val="24"/>
        </w:rPr>
        <w:t>202</w:t>
      </w:r>
      <w:r w:rsidR="00BA2E00">
        <w:rPr>
          <w:rFonts w:ascii="Arial Narrow" w:hAnsi="Arial Narrow"/>
          <w:sz w:val="24"/>
          <w:szCs w:val="24"/>
        </w:rPr>
        <w:t>3</w:t>
      </w:r>
      <w:r w:rsidR="00FA4E5D">
        <w:rPr>
          <w:rFonts w:ascii="Arial Narrow" w:hAnsi="Arial Narrow"/>
          <w:sz w:val="24"/>
          <w:szCs w:val="24"/>
        </w:rPr>
        <w:t xml:space="preserve"> </w:t>
      </w:r>
      <w:r w:rsidR="0054057F" w:rsidRPr="002F0E0F">
        <w:rPr>
          <w:rFonts w:ascii="Arial Narrow" w:hAnsi="Arial Narrow"/>
          <w:sz w:val="24"/>
          <w:szCs w:val="24"/>
        </w:rPr>
        <w:t xml:space="preserve">et </w:t>
      </w:r>
      <w:r w:rsidR="00522530" w:rsidRPr="002F0E0F">
        <w:rPr>
          <w:rFonts w:ascii="Arial Narrow" w:hAnsi="Arial Narrow"/>
          <w:sz w:val="24"/>
          <w:szCs w:val="24"/>
        </w:rPr>
        <w:t>finissant le</w:t>
      </w:r>
      <w:r w:rsidR="0054057F" w:rsidRPr="002F0E0F">
        <w:rPr>
          <w:rFonts w:ascii="Arial Narrow" w:hAnsi="Arial Narrow"/>
          <w:sz w:val="24"/>
          <w:szCs w:val="24"/>
        </w:rPr>
        <w:t xml:space="preserve"> </w:t>
      </w:r>
      <w:r w:rsidRPr="002F0E0F">
        <w:rPr>
          <w:rFonts w:ascii="Arial Narrow" w:hAnsi="Arial Narrow"/>
          <w:sz w:val="24"/>
          <w:szCs w:val="24"/>
        </w:rPr>
        <w:t>31 décembre 20</w:t>
      </w:r>
      <w:r w:rsidR="00FA4E5D">
        <w:rPr>
          <w:rFonts w:ascii="Arial Narrow" w:hAnsi="Arial Narrow"/>
          <w:sz w:val="24"/>
          <w:szCs w:val="24"/>
        </w:rPr>
        <w:t>2</w:t>
      </w:r>
      <w:r w:rsidR="00BA2E00">
        <w:rPr>
          <w:rFonts w:ascii="Arial Narrow" w:hAnsi="Arial Narrow"/>
          <w:sz w:val="24"/>
          <w:szCs w:val="24"/>
        </w:rPr>
        <w:t>3</w:t>
      </w:r>
      <w:r w:rsidRPr="002F0E0F">
        <w:rPr>
          <w:rFonts w:ascii="Arial Narrow" w:hAnsi="Arial Narrow"/>
          <w:sz w:val="24"/>
          <w:szCs w:val="24"/>
        </w:rPr>
        <w:t xml:space="preserve">. </w:t>
      </w:r>
    </w:p>
    <w:p w:rsidR="00937949" w:rsidRDefault="00937949" w:rsidP="00937949">
      <w:pPr>
        <w:widowControl w:val="0"/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24141C" w:rsidRPr="00FA4E5D" w:rsidRDefault="00F30437" w:rsidP="00937949">
      <w:pPr>
        <w:pStyle w:val="ListParagraph"/>
        <w:numPr>
          <w:ilvl w:val="0"/>
          <w:numId w:val="13"/>
        </w:numPr>
        <w:tabs>
          <w:tab w:val="left" w:pos="426"/>
        </w:tabs>
        <w:bidi w:val="0"/>
        <w:spacing w:before="120" w:after="120" w:line="360" w:lineRule="auto"/>
        <w:ind w:left="0" w:firstLine="0"/>
        <w:contextualSpacing w:val="0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lastRenderedPageBreak/>
        <w:t>Conditions</w:t>
      </w:r>
      <w:r w:rsidR="00D76128" w:rsidRPr="00FA4E5D">
        <w:rPr>
          <w:rFonts w:ascii="Arial Narrow" w:hAnsi="Arial Narrow"/>
          <w:b/>
          <w:bCs/>
          <w:sz w:val="28"/>
          <w:szCs w:val="28"/>
          <w:u w:val="single"/>
        </w:rPr>
        <w:t xml:space="preserve"> financière</w:t>
      </w:r>
      <w:r>
        <w:rPr>
          <w:rFonts w:ascii="Arial Narrow" w:hAnsi="Arial Narrow"/>
          <w:b/>
          <w:bCs/>
          <w:sz w:val="28"/>
          <w:szCs w:val="28"/>
          <w:u w:val="single"/>
        </w:rPr>
        <w:t>s</w:t>
      </w:r>
    </w:p>
    <w:p w:rsidR="00D76128" w:rsidRPr="00FA4E5D" w:rsidRDefault="00F30437" w:rsidP="00F30437">
      <w:pPr>
        <w:pStyle w:val="ListParagraph"/>
        <w:numPr>
          <w:ilvl w:val="0"/>
          <w:numId w:val="15"/>
        </w:numPr>
        <w:tabs>
          <w:tab w:val="left" w:pos="426"/>
        </w:tabs>
        <w:bidi w:val="0"/>
        <w:spacing w:before="120" w:after="120" w:line="360" w:lineRule="auto"/>
        <w:ind w:left="0" w:hanging="11"/>
        <w:contextualSpacing w:val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Offre de prix</w:t>
      </w:r>
      <w:r w:rsidR="00DB1BDD" w:rsidRPr="00FA4E5D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:rsidR="00F30437" w:rsidRDefault="00505E36" w:rsidP="006F008C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>L</w:t>
      </w:r>
      <w:r w:rsidR="00F30437">
        <w:rPr>
          <w:rFonts w:ascii="Arial Narrow" w:hAnsi="Arial Narrow"/>
          <w:sz w:val="24"/>
          <w:szCs w:val="24"/>
        </w:rPr>
        <w:t>’offre de prix</w:t>
      </w:r>
      <w:r w:rsidR="00937949">
        <w:rPr>
          <w:rFonts w:ascii="Arial Narrow" w:hAnsi="Arial Narrow"/>
          <w:sz w:val="24"/>
          <w:szCs w:val="24"/>
        </w:rPr>
        <w:t xml:space="preserve"> doit</w:t>
      </w:r>
      <w:r w:rsidR="00F30437">
        <w:rPr>
          <w:rFonts w:ascii="Arial Narrow" w:hAnsi="Arial Narrow"/>
          <w:sz w:val="24"/>
          <w:szCs w:val="24"/>
        </w:rPr>
        <w:t xml:space="preserve"> </w:t>
      </w:r>
      <w:r w:rsidR="006F008C">
        <w:rPr>
          <w:rFonts w:ascii="Arial Narrow" w:hAnsi="Arial Narrow"/>
          <w:sz w:val="24"/>
          <w:szCs w:val="24"/>
        </w:rPr>
        <w:t xml:space="preserve">indiquer le montant ferme et non révisable, en hors taxes, des </w:t>
      </w:r>
      <w:r w:rsidR="004F3208" w:rsidRPr="002F0E0F">
        <w:rPr>
          <w:rFonts w:ascii="Arial Narrow" w:hAnsi="Arial Narrow"/>
          <w:sz w:val="24"/>
          <w:szCs w:val="24"/>
        </w:rPr>
        <w:t xml:space="preserve">honoraires </w:t>
      </w:r>
      <w:r w:rsidR="00F30437">
        <w:rPr>
          <w:rFonts w:ascii="Arial Narrow" w:hAnsi="Arial Narrow"/>
          <w:sz w:val="24"/>
          <w:szCs w:val="24"/>
        </w:rPr>
        <w:t>mensuels.</w:t>
      </w:r>
      <w:r w:rsidR="001B643E">
        <w:rPr>
          <w:rFonts w:ascii="Arial Narrow" w:hAnsi="Arial Narrow"/>
          <w:sz w:val="24"/>
          <w:szCs w:val="24"/>
        </w:rPr>
        <w:t xml:space="preserve"> </w:t>
      </w:r>
    </w:p>
    <w:p w:rsidR="006F008C" w:rsidRDefault="006F008C" w:rsidP="006F008C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Aucun frais, indemnités ou honoraires supplémentaires ne seront acceptés.</w:t>
      </w:r>
    </w:p>
    <w:p w:rsidR="000A5CC0" w:rsidRPr="00FA4E5D" w:rsidRDefault="000A5CC0" w:rsidP="002F0E0F">
      <w:pPr>
        <w:pStyle w:val="ListParagraph"/>
        <w:numPr>
          <w:ilvl w:val="0"/>
          <w:numId w:val="15"/>
        </w:numPr>
        <w:tabs>
          <w:tab w:val="left" w:pos="426"/>
        </w:tabs>
        <w:bidi w:val="0"/>
        <w:spacing w:before="120" w:after="120" w:line="360" w:lineRule="auto"/>
        <w:ind w:left="0" w:hanging="11"/>
        <w:contextualSpacing w:val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FA4E5D">
        <w:rPr>
          <w:rFonts w:ascii="Arial Narrow" w:hAnsi="Arial Narrow"/>
          <w:b/>
          <w:bCs/>
          <w:sz w:val="24"/>
          <w:szCs w:val="24"/>
          <w:u w:val="single"/>
        </w:rPr>
        <w:t xml:space="preserve">Modalités de </w:t>
      </w:r>
      <w:r w:rsidR="006557BF" w:rsidRPr="00FA4E5D">
        <w:rPr>
          <w:rFonts w:ascii="Arial Narrow" w:hAnsi="Arial Narrow"/>
          <w:b/>
          <w:bCs/>
          <w:sz w:val="24"/>
          <w:szCs w:val="24"/>
          <w:u w:val="single"/>
        </w:rPr>
        <w:t xml:space="preserve">facturation et de </w:t>
      </w:r>
      <w:r w:rsidRPr="00FA4E5D">
        <w:rPr>
          <w:rFonts w:ascii="Arial Narrow" w:hAnsi="Arial Narrow"/>
          <w:b/>
          <w:bCs/>
          <w:sz w:val="24"/>
          <w:szCs w:val="24"/>
          <w:u w:val="single"/>
        </w:rPr>
        <w:t>paiement</w:t>
      </w:r>
    </w:p>
    <w:p w:rsidR="007531B1" w:rsidRPr="002F0E0F" w:rsidRDefault="000A5CC0" w:rsidP="00F30437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>Les honoraires f</w:t>
      </w:r>
      <w:r w:rsidR="006557BF" w:rsidRPr="002F0E0F">
        <w:rPr>
          <w:rFonts w:ascii="Arial Narrow" w:hAnsi="Arial Narrow"/>
          <w:sz w:val="24"/>
          <w:szCs w:val="24"/>
        </w:rPr>
        <w:t>eron</w:t>
      </w:r>
      <w:r w:rsidRPr="002F0E0F">
        <w:rPr>
          <w:rFonts w:ascii="Arial Narrow" w:hAnsi="Arial Narrow"/>
          <w:sz w:val="24"/>
          <w:szCs w:val="24"/>
        </w:rPr>
        <w:t>t l’objet d’une facturation trimestrielle.</w:t>
      </w:r>
    </w:p>
    <w:p w:rsidR="000A5CC0" w:rsidRDefault="000A5CC0" w:rsidP="00F30437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>Ils sont payés dans le mois d</w:t>
      </w:r>
      <w:r w:rsidR="006557BF" w:rsidRPr="002F0E0F">
        <w:rPr>
          <w:rFonts w:ascii="Arial Narrow" w:hAnsi="Arial Narrow"/>
          <w:sz w:val="24"/>
          <w:szCs w:val="24"/>
        </w:rPr>
        <w:t>e la présentation de la facture</w:t>
      </w:r>
      <w:r w:rsidR="00D164DE" w:rsidRPr="002F0E0F">
        <w:rPr>
          <w:rFonts w:ascii="Arial Narrow" w:hAnsi="Arial Narrow"/>
          <w:sz w:val="24"/>
          <w:szCs w:val="24"/>
        </w:rPr>
        <w:t xml:space="preserve"> par chèque </w:t>
      </w:r>
      <w:r w:rsidR="006557BF" w:rsidRPr="002F0E0F">
        <w:rPr>
          <w:rFonts w:ascii="Arial Narrow" w:hAnsi="Arial Narrow"/>
          <w:sz w:val="24"/>
          <w:szCs w:val="24"/>
        </w:rPr>
        <w:t>ou par virement bancaire.</w:t>
      </w:r>
    </w:p>
    <w:p w:rsidR="00DB1BDD" w:rsidRPr="00FA4E5D" w:rsidRDefault="00DB1BDD" w:rsidP="002F0E0F">
      <w:pPr>
        <w:pStyle w:val="ListParagraph"/>
        <w:numPr>
          <w:ilvl w:val="0"/>
          <w:numId w:val="15"/>
        </w:numPr>
        <w:tabs>
          <w:tab w:val="left" w:pos="426"/>
        </w:tabs>
        <w:bidi w:val="0"/>
        <w:spacing w:before="120" w:after="120" w:line="360" w:lineRule="auto"/>
        <w:ind w:left="0" w:hanging="11"/>
        <w:contextualSpacing w:val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FA4E5D">
        <w:rPr>
          <w:rFonts w:ascii="Arial Narrow" w:hAnsi="Arial Narrow"/>
          <w:b/>
          <w:bCs/>
          <w:sz w:val="24"/>
          <w:szCs w:val="24"/>
          <w:u w:val="single"/>
        </w:rPr>
        <w:t>Révision des honoraires</w:t>
      </w:r>
    </w:p>
    <w:p w:rsidR="00F30437" w:rsidRDefault="00F30437" w:rsidP="002F0E0F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honoraires proposés doivent être fermes et non révisables pendant toute la période du contrat de prestation.</w:t>
      </w:r>
    </w:p>
    <w:p w:rsidR="00D8592D" w:rsidRDefault="00F30437" w:rsidP="00F30437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L’extension éventuelle de </w:t>
      </w:r>
      <w:r w:rsidRPr="002F0E0F">
        <w:rPr>
          <w:rFonts w:ascii="Arial Narrow" w:hAnsi="Arial Narrow"/>
          <w:sz w:val="24"/>
          <w:szCs w:val="24"/>
        </w:rPr>
        <w:t>l’étendue de la mission par l’intégration de nouvelles prestations</w:t>
      </w:r>
      <w:r w:rsidR="00D8592D">
        <w:rPr>
          <w:rFonts w:ascii="Arial Narrow" w:hAnsi="Arial Narrow"/>
          <w:sz w:val="24"/>
          <w:szCs w:val="24"/>
        </w:rPr>
        <w:t xml:space="preserve"> devra faire l’objet d’un contrat séparé.</w:t>
      </w:r>
    </w:p>
    <w:p w:rsidR="00184588" w:rsidRDefault="00184588" w:rsidP="00184588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691A9D" w:rsidRDefault="00691A9D" w:rsidP="00B21010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F0E0F">
        <w:rPr>
          <w:rFonts w:ascii="Arial Narrow" w:hAnsi="Arial Narrow"/>
          <w:sz w:val="24"/>
          <w:szCs w:val="24"/>
        </w:rPr>
        <w:t>Fai</w:t>
      </w:r>
      <w:r w:rsidR="00CF3847" w:rsidRPr="002F0E0F">
        <w:rPr>
          <w:rFonts w:ascii="Arial Narrow" w:hAnsi="Arial Narrow"/>
          <w:sz w:val="24"/>
          <w:szCs w:val="24"/>
        </w:rPr>
        <w:t>t</w:t>
      </w:r>
      <w:r w:rsidRPr="002F0E0F">
        <w:rPr>
          <w:rFonts w:ascii="Arial Narrow" w:hAnsi="Arial Narrow"/>
          <w:sz w:val="24"/>
          <w:szCs w:val="24"/>
        </w:rPr>
        <w:t xml:space="preserve"> à Tunis</w:t>
      </w:r>
      <w:r w:rsidR="004671CC" w:rsidRPr="002F0E0F">
        <w:rPr>
          <w:rFonts w:ascii="Arial Narrow" w:hAnsi="Arial Narrow"/>
          <w:sz w:val="24"/>
          <w:szCs w:val="24"/>
        </w:rPr>
        <w:t>,</w:t>
      </w:r>
      <w:r w:rsidRPr="002F0E0F">
        <w:rPr>
          <w:rFonts w:ascii="Arial Narrow" w:hAnsi="Arial Narrow"/>
          <w:sz w:val="24"/>
          <w:szCs w:val="24"/>
        </w:rPr>
        <w:t xml:space="preserve"> le </w:t>
      </w:r>
      <w:r w:rsidR="002022AA">
        <w:rPr>
          <w:rFonts w:ascii="Arial Narrow" w:hAnsi="Arial Narrow"/>
          <w:sz w:val="24"/>
          <w:szCs w:val="24"/>
        </w:rPr>
        <w:t>15</w:t>
      </w:r>
      <w:r w:rsidR="00B21010">
        <w:rPr>
          <w:rFonts w:ascii="Arial Narrow" w:hAnsi="Arial Narrow"/>
          <w:sz w:val="24"/>
          <w:szCs w:val="24"/>
        </w:rPr>
        <w:t xml:space="preserve"> </w:t>
      </w:r>
      <w:r w:rsidR="002022AA">
        <w:rPr>
          <w:rFonts w:ascii="Arial Narrow" w:hAnsi="Arial Narrow"/>
          <w:sz w:val="24"/>
          <w:szCs w:val="24"/>
        </w:rPr>
        <w:t>Septembre 2023</w:t>
      </w:r>
      <w:r w:rsidR="00A03F7A" w:rsidRPr="002F0E0F">
        <w:rPr>
          <w:rFonts w:ascii="Arial Narrow" w:hAnsi="Arial Narrow"/>
          <w:sz w:val="24"/>
          <w:szCs w:val="24"/>
        </w:rPr>
        <w:t>.</w:t>
      </w:r>
    </w:p>
    <w:p w:rsidR="00862304" w:rsidRDefault="00862304" w:rsidP="00B05E25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</w:t>
      </w:r>
      <w:r w:rsidR="002022AA">
        <w:rPr>
          <w:rFonts w:ascii="Arial Narrow" w:hAnsi="Arial Narrow"/>
          <w:sz w:val="24"/>
          <w:szCs w:val="24"/>
        </w:rPr>
        <w:t xml:space="preserve">représentant </w:t>
      </w:r>
      <w:r w:rsidR="00B05E25">
        <w:rPr>
          <w:rFonts w:ascii="Arial Narrow" w:hAnsi="Arial Narrow"/>
          <w:sz w:val="24"/>
          <w:szCs w:val="24"/>
        </w:rPr>
        <w:t>RLS</w:t>
      </w:r>
      <w:r>
        <w:rPr>
          <w:rFonts w:ascii="Arial Narrow" w:hAnsi="Arial Narrow"/>
          <w:sz w:val="24"/>
          <w:szCs w:val="24"/>
        </w:rPr>
        <w:t xml:space="preserve"> : </w:t>
      </w:r>
      <w:r w:rsidR="00B05E25">
        <w:rPr>
          <w:rFonts w:ascii="Arial Narrow" w:hAnsi="Arial Narrow"/>
          <w:sz w:val="24"/>
          <w:szCs w:val="24"/>
        </w:rPr>
        <w:t xml:space="preserve">                       </w:t>
      </w:r>
    </w:p>
    <w:p w:rsidR="00862304" w:rsidRPr="002F0E0F" w:rsidRDefault="00862304" w:rsidP="00862304">
      <w:pPr>
        <w:bidi w:val="0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sectPr w:rsidR="00862304" w:rsidRPr="002F0E0F" w:rsidSect="00862304">
      <w:headerReference w:type="default" r:id="rId8"/>
      <w:footerReference w:type="default" r:id="rId9"/>
      <w:headerReference w:type="first" r:id="rId10"/>
      <w:endnotePr>
        <w:numFmt w:val="lowerLetter"/>
      </w:endnotePr>
      <w:pgSz w:w="11906" w:h="16838"/>
      <w:pgMar w:top="1417" w:right="1417" w:bottom="1134" w:left="1417" w:header="720" w:footer="720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C7" w:rsidRDefault="008B25C7">
      <w:r>
        <w:separator/>
      </w:r>
    </w:p>
  </w:endnote>
  <w:endnote w:type="continuationSeparator" w:id="0">
    <w:p w:rsidR="008B25C7" w:rsidRDefault="008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AHZ+SAPFuturaCaLight0166.68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7757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70A6" w:rsidRPr="00862304" w:rsidRDefault="00862304" w:rsidP="00862304">
            <w:pPr>
              <w:pStyle w:val="Footer"/>
              <w:pBdr>
                <w:top w:val="single" w:sz="4" w:space="1" w:color="auto"/>
              </w:pBdr>
              <w:bidi w:val="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45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45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C7" w:rsidRDefault="008B25C7">
      <w:r>
        <w:separator/>
      </w:r>
    </w:p>
  </w:footnote>
  <w:footnote w:type="continuationSeparator" w:id="0">
    <w:p w:rsidR="008B25C7" w:rsidRDefault="008B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0A6" w:rsidRPr="00E470A6" w:rsidRDefault="00B05E25" w:rsidP="00937949">
    <w:pPr>
      <w:pBdr>
        <w:bottom w:val="single" w:sz="4" w:space="1" w:color="auto"/>
      </w:pBdr>
      <w:bidi w:val="0"/>
      <w:spacing w:before="120" w:after="120" w:line="360" w:lineRule="auto"/>
      <w:jc w:val="both"/>
      <w:rPr>
        <w:rFonts w:ascii="Arial Narrow" w:hAnsi="Arial Narrow"/>
      </w:rPr>
    </w:pPr>
    <w:r>
      <w:rPr>
        <w:rFonts w:ascii="Arial Narrow" w:hAnsi="Arial Narrow"/>
      </w:rPr>
      <w:t>RLS</w:t>
    </w:r>
    <w:r w:rsidR="00D8592D">
      <w:rPr>
        <w:rFonts w:ascii="Arial Narrow" w:hAnsi="Arial Narrow"/>
      </w:rPr>
      <w:t xml:space="preserve"> – Termes de référence pour une m</w:t>
    </w:r>
    <w:r w:rsidR="009C45FE">
      <w:rPr>
        <w:rFonts w:ascii="Arial Narrow" w:hAnsi="Arial Narrow"/>
      </w:rPr>
      <w:t>ission d’a</w:t>
    </w:r>
    <w:r w:rsidR="0008323C">
      <w:rPr>
        <w:rFonts w:ascii="Arial Narrow" w:hAnsi="Arial Narrow"/>
      </w:rPr>
      <w:t xml:space="preserve">ssistance </w:t>
    </w:r>
    <w:r w:rsidR="00937949" w:rsidRPr="00D2745D">
      <w:rPr>
        <w:rFonts w:ascii="Arial Narrow" w:hAnsi="Arial Narrow"/>
      </w:rPr>
      <w:t>comptable et fiscale</w:t>
    </w:r>
  </w:p>
  <w:p w:rsidR="00FC4344" w:rsidRDefault="00FC43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1"/>
      <w:tblW w:w="9498" w:type="dxa"/>
      <w:tblLayout w:type="fixed"/>
      <w:tblLook w:val="01E0" w:firstRow="1" w:lastRow="1" w:firstColumn="1" w:lastColumn="1" w:noHBand="0" w:noVBand="0"/>
    </w:tblPr>
    <w:tblGrid>
      <w:gridCol w:w="9498"/>
    </w:tblGrid>
    <w:tr w:rsidR="00862304" w:rsidRPr="00A216D6" w:rsidTr="00862304">
      <w:trPr>
        <w:trHeight w:val="283"/>
      </w:trPr>
      <w:tc>
        <w:tcPr>
          <w:tcW w:w="9498" w:type="dxa"/>
          <w:tcBorders>
            <w:bottom w:val="single" w:sz="8" w:space="0" w:color="000000"/>
          </w:tcBorders>
        </w:tcPr>
        <w:p w:rsidR="00862304" w:rsidRPr="00A216D6" w:rsidRDefault="00B05E25" w:rsidP="00862304">
          <w:pPr>
            <w:pStyle w:val="TableParagraph"/>
            <w:spacing w:line="264" w:lineRule="exact"/>
            <w:ind w:left="0" w:hanging="19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RLS</w:t>
          </w:r>
        </w:p>
      </w:tc>
    </w:tr>
    <w:tr w:rsidR="00862304" w:rsidRPr="00165E65" w:rsidTr="00862304">
      <w:trPr>
        <w:trHeight w:val="262"/>
      </w:trPr>
      <w:tc>
        <w:tcPr>
          <w:tcW w:w="9498" w:type="dxa"/>
          <w:tcBorders>
            <w:top w:val="single" w:sz="8" w:space="0" w:color="000000"/>
          </w:tcBorders>
        </w:tcPr>
        <w:p w:rsidR="00862304" w:rsidRPr="00862304" w:rsidRDefault="002022AA" w:rsidP="00B05E25">
          <w:pPr>
            <w:pStyle w:val="TableParagraph"/>
            <w:spacing w:before="5"/>
            <w:ind w:left="0"/>
            <w:rPr>
              <w:rFonts w:ascii="Arial Narrow" w:hAnsi="Arial Narrow"/>
              <w:sz w:val="20"/>
              <w:szCs w:val="20"/>
              <w:lang w:val="fr-FR"/>
            </w:rPr>
          </w:pPr>
          <w:r>
            <w:rPr>
              <w:rFonts w:ascii="Arial Narrow" w:hAnsi="Arial Narrow"/>
              <w:sz w:val="20"/>
              <w:szCs w:val="20"/>
              <w:lang w:val="fr-FR"/>
            </w:rPr>
            <w:t>55 TER Avenue 1</w:t>
          </w:r>
          <w:r w:rsidRPr="002022AA">
            <w:rPr>
              <w:rFonts w:ascii="Arial Narrow" w:hAnsi="Arial Narrow"/>
              <w:sz w:val="20"/>
              <w:szCs w:val="20"/>
              <w:vertAlign w:val="superscript"/>
              <w:lang w:val="fr-FR"/>
            </w:rPr>
            <w:t>er</w:t>
          </w:r>
          <w:r>
            <w:rPr>
              <w:rFonts w:ascii="Arial Narrow" w:hAnsi="Arial Narrow"/>
              <w:sz w:val="20"/>
              <w:szCs w:val="20"/>
              <w:lang w:val="fr-FR"/>
            </w:rPr>
            <w:t xml:space="preserve"> Juin, </w:t>
          </w:r>
          <w:r w:rsidR="00B05E25">
            <w:rPr>
              <w:rFonts w:ascii="Arial Narrow" w:hAnsi="Arial Narrow"/>
              <w:sz w:val="20"/>
              <w:szCs w:val="20"/>
              <w:lang w:val="fr-FR"/>
            </w:rPr>
            <w:t>Mutuelle ville</w:t>
          </w:r>
        </w:p>
      </w:tc>
    </w:tr>
    <w:tr w:rsidR="00862304" w:rsidRPr="00165E65" w:rsidTr="00862304">
      <w:trPr>
        <w:trHeight w:val="286"/>
      </w:trPr>
      <w:tc>
        <w:tcPr>
          <w:tcW w:w="9498" w:type="dxa"/>
        </w:tcPr>
        <w:p w:rsidR="00862304" w:rsidRPr="00165E65" w:rsidRDefault="00862304" w:rsidP="00B05E25">
          <w:pPr>
            <w:pStyle w:val="TableParagraph"/>
            <w:spacing w:before="10" w:line="256" w:lineRule="exact"/>
            <w:ind w:left="0"/>
            <w:rPr>
              <w:rFonts w:ascii="Arial Narrow" w:hAnsi="Arial Narrow"/>
              <w:bCs/>
              <w:iCs/>
              <w:sz w:val="20"/>
              <w:szCs w:val="20"/>
            </w:rPr>
          </w:pPr>
          <w:r w:rsidRPr="00165E65">
            <w:rPr>
              <w:rFonts w:ascii="Arial Narrow" w:hAnsi="Arial Narrow"/>
              <w:bCs/>
              <w:iCs/>
              <w:sz w:val="20"/>
              <w:szCs w:val="20"/>
            </w:rPr>
            <w:t xml:space="preserve">MF : </w:t>
          </w:r>
          <w:r w:rsidR="002022AA">
            <w:rPr>
              <w:rFonts w:ascii="Arial Narrow" w:hAnsi="Arial Narrow"/>
              <w:bCs/>
              <w:iCs/>
              <w:sz w:val="20"/>
              <w:szCs w:val="20"/>
            </w:rPr>
            <w:t>1346281/APN/000</w:t>
          </w:r>
        </w:p>
      </w:tc>
    </w:tr>
  </w:tbl>
  <w:p w:rsidR="00862304" w:rsidRDefault="0086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8"/>
      </v:shape>
    </w:pict>
  </w:numPicBullet>
  <w:abstractNum w:abstractNumId="0" w15:restartNumberingAfterBreak="0">
    <w:nsid w:val="04945ED7"/>
    <w:multiLevelType w:val="hybridMultilevel"/>
    <w:tmpl w:val="41548F5E"/>
    <w:lvl w:ilvl="0" w:tplc="A628B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49A"/>
    <w:multiLevelType w:val="hybridMultilevel"/>
    <w:tmpl w:val="5C2A4A92"/>
    <w:lvl w:ilvl="0" w:tplc="059EEAA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0EF2"/>
    <w:multiLevelType w:val="multilevel"/>
    <w:tmpl w:val="22B86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B94F5E"/>
    <w:multiLevelType w:val="hybridMultilevel"/>
    <w:tmpl w:val="CD049D54"/>
    <w:lvl w:ilvl="0" w:tplc="BBCE422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54E"/>
    <w:multiLevelType w:val="hybridMultilevel"/>
    <w:tmpl w:val="1C88006E"/>
    <w:lvl w:ilvl="0" w:tplc="DC66E5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EAA"/>
    <w:multiLevelType w:val="multilevel"/>
    <w:tmpl w:val="40D82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497788"/>
    <w:multiLevelType w:val="hybridMultilevel"/>
    <w:tmpl w:val="BF247502"/>
    <w:lvl w:ilvl="0" w:tplc="F6E42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E3322"/>
    <w:multiLevelType w:val="hybridMultilevel"/>
    <w:tmpl w:val="708AE5C2"/>
    <w:lvl w:ilvl="0" w:tplc="21843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38B7"/>
    <w:multiLevelType w:val="multilevel"/>
    <w:tmpl w:val="FC7A8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8A251E"/>
    <w:multiLevelType w:val="multilevel"/>
    <w:tmpl w:val="553A07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9203D7E"/>
    <w:multiLevelType w:val="hybridMultilevel"/>
    <w:tmpl w:val="B3007472"/>
    <w:lvl w:ilvl="0" w:tplc="040C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 w15:restartNumberingAfterBreak="0">
    <w:nsid w:val="43652A61"/>
    <w:multiLevelType w:val="hybridMultilevel"/>
    <w:tmpl w:val="1244362C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E1335"/>
    <w:multiLevelType w:val="multilevel"/>
    <w:tmpl w:val="11D0A7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7525075"/>
    <w:multiLevelType w:val="multilevel"/>
    <w:tmpl w:val="85F6D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i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i/>
        <w:u w:val="single"/>
      </w:rPr>
    </w:lvl>
  </w:abstractNum>
  <w:abstractNum w:abstractNumId="14" w15:restartNumberingAfterBreak="0">
    <w:nsid w:val="484D6AA1"/>
    <w:multiLevelType w:val="hybridMultilevel"/>
    <w:tmpl w:val="C12E8BEE"/>
    <w:lvl w:ilvl="0" w:tplc="21843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713"/>
    <w:multiLevelType w:val="multilevel"/>
    <w:tmpl w:val="B2585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4A0C7F"/>
    <w:multiLevelType w:val="hybridMultilevel"/>
    <w:tmpl w:val="C12E8BEE"/>
    <w:lvl w:ilvl="0" w:tplc="21843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B54EC"/>
    <w:multiLevelType w:val="hybridMultilevel"/>
    <w:tmpl w:val="A8F416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F2504"/>
    <w:multiLevelType w:val="hybridMultilevel"/>
    <w:tmpl w:val="C12E8BEE"/>
    <w:lvl w:ilvl="0" w:tplc="21843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278D9"/>
    <w:multiLevelType w:val="hybridMultilevel"/>
    <w:tmpl w:val="FB24464E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16"/>
        </w:tabs>
        <w:ind w:left="231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20" w15:restartNumberingAfterBreak="0">
    <w:nsid w:val="6EAD389C"/>
    <w:multiLevelType w:val="multilevel"/>
    <w:tmpl w:val="B2585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A96B70"/>
    <w:multiLevelType w:val="hybridMultilevel"/>
    <w:tmpl w:val="BE14AA12"/>
    <w:lvl w:ilvl="0" w:tplc="BBCE422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359D"/>
    <w:multiLevelType w:val="hybridMultilevel"/>
    <w:tmpl w:val="75BAD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4377"/>
    <w:multiLevelType w:val="hybridMultilevel"/>
    <w:tmpl w:val="254672B6"/>
    <w:lvl w:ilvl="0" w:tplc="324052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6055B"/>
    <w:multiLevelType w:val="multilevel"/>
    <w:tmpl w:val="B2585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CC26D90"/>
    <w:multiLevelType w:val="hybridMultilevel"/>
    <w:tmpl w:val="EE3C2894"/>
    <w:lvl w:ilvl="0" w:tplc="F6E42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6"/>
  </w:num>
  <w:num w:numId="5">
    <w:abstractNumId w:val="21"/>
  </w:num>
  <w:num w:numId="6">
    <w:abstractNumId w:val="16"/>
  </w:num>
  <w:num w:numId="7">
    <w:abstractNumId w:val="2"/>
  </w:num>
  <w:num w:numId="8">
    <w:abstractNumId w:val="8"/>
  </w:num>
  <w:num w:numId="9">
    <w:abstractNumId w:val="14"/>
  </w:num>
  <w:num w:numId="10">
    <w:abstractNumId w:val="12"/>
  </w:num>
  <w:num w:numId="11">
    <w:abstractNumId w:val="13"/>
  </w:num>
  <w:num w:numId="12">
    <w:abstractNumId w:val="17"/>
  </w:num>
  <w:num w:numId="13">
    <w:abstractNumId w:val="4"/>
  </w:num>
  <w:num w:numId="14">
    <w:abstractNumId w:val="7"/>
  </w:num>
  <w:num w:numId="15">
    <w:abstractNumId w:val="18"/>
  </w:num>
  <w:num w:numId="16">
    <w:abstractNumId w:val="24"/>
  </w:num>
  <w:num w:numId="17">
    <w:abstractNumId w:val="9"/>
  </w:num>
  <w:num w:numId="18">
    <w:abstractNumId w:val="5"/>
  </w:num>
  <w:num w:numId="19">
    <w:abstractNumId w:val="23"/>
  </w:num>
  <w:num w:numId="20">
    <w:abstractNumId w:val="10"/>
  </w:num>
  <w:num w:numId="21">
    <w:abstractNumId w:val="3"/>
  </w:num>
  <w:num w:numId="22">
    <w:abstractNumId w:val="1"/>
  </w:num>
  <w:num w:numId="23">
    <w:abstractNumId w:val="15"/>
  </w:num>
  <w:num w:numId="24">
    <w:abstractNumId w:val="20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9D"/>
    <w:rsid w:val="0000561A"/>
    <w:rsid w:val="00016574"/>
    <w:rsid w:val="00036301"/>
    <w:rsid w:val="000566CF"/>
    <w:rsid w:val="00066D2D"/>
    <w:rsid w:val="00072139"/>
    <w:rsid w:val="0008323C"/>
    <w:rsid w:val="00095B6F"/>
    <w:rsid w:val="000A5CC0"/>
    <w:rsid w:val="000C4D57"/>
    <w:rsid w:val="000D52CF"/>
    <w:rsid w:val="00102DE8"/>
    <w:rsid w:val="00146A7B"/>
    <w:rsid w:val="00150F64"/>
    <w:rsid w:val="0015112F"/>
    <w:rsid w:val="00173A76"/>
    <w:rsid w:val="00184588"/>
    <w:rsid w:val="001B4450"/>
    <w:rsid w:val="001B643E"/>
    <w:rsid w:val="001C1A3B"/>
    <w:rsid w:val="001D35D4"/>
    <w:rsid w:val="001D55F0"/>
    <w:rsid w:val="002022AA"/>
    <w:rsid w:val="002043FB"/>
    <w:rsid w:val="00204FD3"/>
    <w:rsid w:val="0021460C"/>
    <w:rsid w:val="00215930"/>
    <w:rsid w:val="00217390"/>
    <w:rsid w:val="0022561E"/>
    <w:rsid w:val="00235D67"/>
    <w:rsid w:val="0024141C"/>
    <w:rsid w:val="00252FFE"/>
    <w:rsid w:val="0025792A"/>
    <w:rsid w:val="00265944"/>
    <w:rsid w:val="00281394"/>
    <w:rsid w:val="00283227"/>
    <w:rsid w:val="002867EC"/>
    <w:rsid w:val="00290751"/>
    <w:rsid w:val="002915DA"/>
    <w:rsid w:val="00291E5E"/>
    <w:rsid w:val="002A1313"/>
    <w:rsid w:val="002C7AF9"/>
    <w:rsid w:val="002E3766"/>
    <w:rsid w:val="002F0E0F"/>
    <w:rsid w:val="002F1A98"/>
    <w:rsid w:val="003061EA"/>
    <w:rsid w:val="00342631"/>
    <w:rsid w:val="0035487E"/>
    <w:rsid w:val="003550EB"/>
    <w:rsid w:val="00356781"/>
    <w:rsid w:val="00367EA3"/>
    <w:rsid w:val="003851F8"/>
    <w:rsid w:val="003A7718"/>
    <w:rsid w:val="003B5D9F"/>
    <w:rsid w:val="003D290E"/>
    <w:rsid w:val="004268B6"/>
    <w:rsid w:val="00441D11"/>
    <w:rsid w:val="00443194"/>
    <w:rsid w:val="004456E2"/>
    <w:rsid w:val="00464948"/>
    <w:rsid w:val="004671CC"/>
    <w:rsid w:val="00471AA1"/>
    <w:rsid w:val="00473273"/>
    <w:rsid w:val="0047441A"/>
    <w:rsid w:val="00480CF0"/>
    <w:rsid w:val="00497BC0"/>
    <w:rsid w:val="004D3FD3"/>
    <w:rsid w:val="004E1F29"/>
    <w:rsid w:val="004F2B6B"/>
    <w:rsid w:val="004F3208"/>
    <w:rsid w:val="00505E36"/>
    <w:rsid w:val="0051269E"/>
    <w:rsid w:val="00520430"/>
    <w:rsid w:val="00522530"/>
    <w:rsid w:val="0054057F"/>
    <w:rsid w:val="0055466B"/>
    <w:rsid w:val="00554CC0"/>
    <w:rsid w:val="005805F0"/>
    <w:rsid w:val="00591648"/>
    <w:rsid w:val="005B6A56"/>
    <w:rsid w:val="005C2072"/>
    <w:rsid w:val="005F277C"/>
    <w:rsid w:val="0060523E"/>
    <w:rsid w:val="006557BF"/>
    <w:rsid w:val="00663F15"/>
    <w:rsid w:val="00664138"/>
    <w:rsid w:val="006745D6"/>
    <w:rsid w:val="00691A9D"/>
    <w:rsid w:val="006B31DD"/>
    <w:rsid w:val="006C2530"/>
    <w:rsid w:val="006C4C7F"/>
    <w:rsid w:val="006C4F39"/>
    <w:rsid w:val="006C5D6E"/>
    <w:rsid w:val="006D5256"/>
    <w:rsid w:val="006F008C"/>
    <w:rsid w:val="007101F1"/>
    <w:rsid w:val="007326F6"/>
    <w:rsid w:val="007531B1"/>
    <w:rsid w:val="00755ABD"/>
    <w:rsid w:val="0079559A"/>
    <w:rsid w:val="007B33C9"/>
    <w:rsid w:val="007C753F"/>
    <w:rsid w:val="007D28B7"/>
    <w:rsid w:val="007E00DD"/>
    <w:rsid w:val="007E7B24"/>
    <w:rsid w:val="007E7CF6"/>
    <w:rsid w:val="0084619A"/>
    <w:rsid w:val="00855979"/>
    <w:rsid w:val="00862304"/>
    <w:rsid w:val="0087034B"/>
    <w:rsid w:val="00874D8D"/>
    <w:rsid w:val="008811E7"/>
    <w:rsid w:val="008862CA"/>
    <w:rsid w:val="0089118F"/>
    <w:rsid w:val="00893EA9"/>
    <w:rsid w:val="0089666E"/>
    <w:rsid w:val="008B25C7"/>
    <w:rsid w:val="008B65F3"/>
    <w:rsid w:val="008C1B0E"/>
    <w:rsid w:val="008E204B"/>
    <w:rsid w:val="00920882"/>
    <w:rsid w:val="00922B14"/>
    <w:rsid w:val="00937949"/>
    <w:rsid w:val="0094756D"/>
    <w:rsid w:val="00964BB0"/>
    <w:rsid w:val="00977A5F"/>
    <w:rsid w:val="009861C8"/>
    <w:rsid w:val="00992A9C"/>
    <w:rsid w:val="0099456F"/>
    <w:rsid w:val="0099783F"/>
    <w:rsid w:val="009C45FE"/>
    <w:rsid w:val="009F2BA7"/>
    <w:rsid w:val="009F5797"/>
    <w:rsid w:val="009F64DD"/>
    <w:rsid w:val="00A01A76"/>
    <w:rsid w:val="00A01C40"/>
    <w:rsid w:val="00A03F7A"/>
    <w:rsid w:val="00A07B7B"/>
    <w:rsid w:val="00A34471"/>
    <w:rsid w:val="00A8322C"/>
    <w:rsid w:val="00A90CA1"/>
    <w:rsid w:val="00A92C88"/>
    <w:rsid w:val="00A93F6E"/>
    <w:rsid w:val="00AA2D0F"/>
    <w:rsid w:val="00AE5484"/>
    <w:rsid w:val="00AE7405"/>
    <w:rsid w:val="00AF0215"/>
    <w:rsid w:val="00B05E25"/>
    <w:rsid w:val="00B21010"/>
    <w:rsid w:val="00B63F2A"/>
    <w:rsid w:val="00B644C9"/>
    <w:rsid w:val="00BA2E00"/>
    <w:rsid w:val="00BA6FF4"/>
    <w:rsid w:val="00BB283D"/>
    <w:rsid w:val="00BC1327"/>
    <w:rsid w:val="00BF7EE6"/>
    <w:rsid w:val="00C01AC5"/>
    <w:rsid w:val="00C13BE0"/>
    <w:rsid w:val="00C3438F"/>
    <w:rsid w:val="00C34C76"/>
    <w:rsid w:val="00C42655"/>
    <w:rsid w:val="00C5361D"/>
    <w:rsid w:val="00C575C7"/>
    <w:rsid w:val="00C619BC"/>
    <w:rsid w:val="00C669F0"/>
    <w:rsid w:val="00C818D4"/>
    <w:rsid w:val="00C932E8"/>
    <w:rsid w:val="00CC2B09"/>
    <w:rsid w:val="00CE0589"/>
    <w:rsid w:val="00CE1A8B"/>
    <w:rsid w:val="00CF3847"/>
    <w:rsid w:val="00D04BC5"/>
    <w:rsid w:val="00D164DE"/>
    <w:rsid w:val="00D2745D"/>
    <w:rsid w:val="00D42BD2"/>
    <w:rsid w:val="00D76128"/>
    <w:rsid w:val="00D7674E"/>
    <w:rsid w:val="00D8592D"/>
    <w:rsid w:val="00D87BF9"/>
    <w:rsid w:val="00DB1BDD"/>
    <w:rsid w:val="00DC19F4"/>
    <w:rsid w:val="00DC4728"/>
    <w:rsid w:val="00E13E8D"/>
    <w:rsid w:val="00E23247"/>
    <w:rsid w:val="00E26408"/>
    <w:rsid w:val="00E470A6"/>
    <w:rsid w:val="00E74D04"/>
    <w:rsid w:val="00E75EF0"/>
    <w:rsid w:val="00E97DAB"/>
    <w:rsid w:val="00F05AF7"/>
    <w:rsid w:val="00F15133"/>
    <w:rsid w:val="00F26AC8"/>
    <w:rsid w:val="00F30437"/>
    <w:rsid w:val="00F44350"/>
    <w:rsid w:val="00F57262"/>
    <w:rsid w:val="00F81536"/>
    <w:rsid w:val="00F93103"/>
    <w:rsid w:val="00FA43E3"/>
    <w:rsid w:val="00FA4E5D"/>
    <w:rsid w:val="00FB21BD"/>
    <w:rsid w:val="00FC00F1"/>
    <w:rsid w:val="00FC4344"/>
    <w:rsid w:val="00FD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415B2"/>
  <w15:docId w15:val="{3E794A61-0ACB-4801-8E67-100D7C44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A9D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91A9D"/>
    <w:pPr>
      <w:keepNext/>
      <w:bidi w:val="0"/>
      <w:jc w:val="both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6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33C9"/>
    <w:pPr>
      <w:overflowPunct/>
      <w:autoSpaceDE/>
      <w:autoSpaceDN/>
      <w:bidi w:val="0"/>
      <w:adjustRightInd/>
      <w:spacing w:before="240" w:after="60"/>
      <w:ind w:left="835"/>
      <w:textAlignment w:val="auto"/>
      <w:outlineLvl w:val="5"/>
    </w:pPr>
    <w:rPr>
      <w:rFonts w:ascii="Arial" w:hAnsi="Arial" w:cs="Arial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C88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B445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4450"/>
  </w:style>
  <w:style w:type="paragraph" w:styleId="ListParagraph">
    <w:name w:val="List Paragraph"/>
    <w:basedOn w:val="Normal"/>
    <w:uiPriority w:val="34"/>
    <w:qFormat/>
    <w:rsid w:val="002A13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16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D164DE"/>
    <w:pPr>
      <w:keepLines/>
      <w:tabs>
        <w:tab w:val="left" w:pos="-567"/>
        <w:tab w:val="center" w:pos="4320"/>
        <w:tab w:val="right" w:pos="9480"/>
      </w:tabs>
      <w:overflowPunct/>
      <w:autoSpaceDE/>
      <w:autoSpaceDN/>
      <w:bidi w:val="0"/>
      <w:adjustRightInd/>
      <w:ind w:left="-567" w:right="-567"/>
      <w:textAlignment w:val="auto"/>
    </w:pPr>
    <w:rPr>
      <w:rFonts w:ascii="Arial" w:hAnsi="Arial" w:cs="Arial"/>
      <w:i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D164DE"/>
    <w:rPr>
      <w:rFonts w:ascii="Arial" w:hAnsi="Arial" w:cs="Arial"/>
      <w:i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D164DE"/>
    <w:pPr>
      <w:overflowPunct/>
      <w:autoSpaceDE/>
      <w:autoSpaceDN/>
      <w:bidi w:val="0"/>
      <w:adjustRightInd/>
      <w:ind w:left="835"/>
      <w:textAlignment w:val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D164DE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">
    <w:name w:val="Default"/>
    <w:rsid w:val="00D164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470A6"/>
  </w:style>
  <w:style w:type="character" w:styleId="Hyperlink">
    <w:name w:val="Hyperlink"/>
    <w:basedOn w:val="DefaultParagraphFont"/>
    <w:unhideWhenUsed/>
    <w:rsid w:val="00977A5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7B33C9"/>
    <w:rPr>
      <w:rFonts w:ascii="Arial" w:hAnsi="Arial" w:cs="Arial"/>
      <w:color w:val="00000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623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2304"/>
    <w:pPr>
      <w:widowControl w:val="0"/>
      <w:overflowPunct/>
      <w:bidi w:val="0"/>
      <w:adjustRightInd/>
      <w:ind w:left="200"/>
      <w:textAlignment w:val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7D34-80E5-4DE0-8693-C65F296D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5400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de tenue et assistance comptable</vt:lpstr>
      <vt:lpstr>Convention de tenue et assistance comptable</vt:lpstr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tenue et assistance comptable</dc:title>
  <dc:creator>user</dc:creator>
  <cp:lastModifiedBy>Larbi, Walid</cp:lastModifiedBy>
  <cp:revision>2</cp:revision>
  <cp:lastPrinted>2021-06-30T20:46:00Z</cp:lastPrinted>
  <dcterms:created xsi:type="dcterms:W3CDTF">2023-09-22T14:24:00Z</dcterms:created>
  <dcterms:modified xsi:type="dcterms:W3CDTF">2023-09-22T14:24:00Z</dcterms:modified>
</cp:coreProperties>
</file>